
<file path=[Content_Types].xml><?xml version="1.0" encoding="utf-8"?>
<Types xmlns="http://schemas.openxmlformats.org/package/2006/content-types">
  <Default ContentType="image/jpeg" Extension="jpg"/>
  <Default ContentType="application/vnd.openxmlformats-officedocument.oleObject" Extension="bin"/>
  <Default ContentType="application/xml" Extension="xml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alse" stroked="false" o:spt="75.0" o:preferrelative="true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alseValue" gradientshapeok="true"/>
            <o:lock v:ext="edit" aspectratio="true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350" w:firstLine="0"/>
        <w:jc w:val="right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WARSZAWA, 11 LUTY 2025 r.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35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JEDNOSTKA PROJEKTOWA: </w:t>
        <w:tab/>
        <w:tab/>
        <w:tab/>
        <w:tab/>
        <w:tab/>
        <w:tab/>
        <w:tab/>
        <w:t xml:space="preserve">     EGZ. …/…</w:t>
      </w:r>
    </w:p>
    <w:tbl>
      <w:tblPr>
        <w:tblStyle w:val="Table1"/>
        <w:tblW w:w="9062.0" w:type="dxa"/>
        <w:jc w:val="left"/>
        <w:tblInd w:w="-217.00000000000003" w:type="dxa"/>
        <w:tblLayout w:type="fixed"/>
        <w:tblLook w:val="0000"/>
      </w:tblPr>
      <w:tblGrid>
        <w:gridCol w:w="9062"/>
        <w:tblGridChange w:id="0">
          <w:tblGrid>
            <w:gridCol w:w="9062"/>
          </w:tblGrid>
        </w:tblGridChange>
      </w:tblGrid>
      <w:tr>
        <w:trPr>
          <w:cantSplit w:val="0"/>
          <w:trHeight w:val="2324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0" w:right="350" w:hanging="10"/>
              <w:jc w:val="center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114300" distR="114300">
                  <wp:extent cx="5201285" cy="966470"/>
                  <wp:effectExtent b="0" l="0" r="0" t="0"/>
                  <wp:docPr id="1030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01285" cy="96647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0" w:right="350" w:hanging="10"/>
              <w:jc w:val="center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PROROK STUDIO SP. Z O. O. KAZIMIERZOWSKA 46/48, 02-546 WARSZAWA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34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0" w:right="346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II. PROJEKT ARCHITEKTONICZNO-BUDOWLANY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346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PRZEBUDOWA ORAZ ZMIANA SPOSOBU UŻYTKOWANIA MAGAZYNKU NA SALĘ ZAJĘĆ REWALIDACYJNYCH W SZKOLE PODSTAWOWEJ NR 2 W CZARNKOWIE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346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" w:right="347" w:firstLine="0"/>
        <w:jc w:val="left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highlight w:val="lightGray"/>
          <w:u w:val="none"/>
          <w:vertAlign w:val="baseline"/>
          <w:rtl w:val="0"/>
        </w:rPr>
        <w:t xml:space="preserve">KATEGORIA BUDOWLANA OBIEKTU: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IX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tbl>
      <w:tblPr>
        <w:tblStyle w:val="Table2"/>
        <w:tblW w:w="9060.0" w:type="dxa"/>
        <w:jc w:val="left"/>
        <w:tblInd w:w="-217.00000000000003" w:type="dxa"/>
        <w:tblLayout w:type="fixed"/>
        <w:tblLook w:val="0000"/>
      </w:tblPr>
      <w:tblGrid>
        <w:gridCol w:w="2686"/>
        <w:gridCol w:w="6374"/>
        <w:tblGridChange w:id="0">
          <w:tblGrid>
            <w:gridCol w:w="2686"/>
            <w:gridCol w:w="6374"/>
          </w:tblGrid>
        </w:tblGridChange>
      </w:tblGrid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ADRES INWESTYCJI: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UL. WRONIECKA 136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64-700 CZARNKÓW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IDENTYFIKATOR DZIAŁKI EWIDENCYJNEJ: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300201_1.0001.2211/2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INWESTOR: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GMINA MIASTA CZARNKÓW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PL. WOLNOŚCI 6, 64-700 CZARNKÓW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9" w:right="347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PROJEKTANCI: </w:t>
      </w:r>
      <w:r w:rsidDel="00000000" w:rsidR="00000000" w:rsidRPr="00000000">
        <w:rPr>
          <w:rtl w:val="0"/>
        </w:rPr>
      </w:r>
    </w:p>
    <w:tbl>
      <w:tblPr>
        <w:tblStyle w:val="Table3"/>
        <w:tblW w:w="9043.0" w:type="dxa"/>
        <w:jc w:val="left"/>
        <w:tblInd w:w="-217.00000000000003" w:type="dxa"/>
        <w:tblLayout w:type="fixed"/>
        <w:tblLook w:val="0000"/>
      </w:tblPr>
      <w:tblGrid>
        <w:gridCol w:w="2263"/>
        <w:gridCol w:w="2161"/>
        <w:gridCol w:w="2506"/>
        <w:gridCol w:w="2113"/>
        <w:tblGridChange w:id="0">
          <w:tblGrid>
            <w:gridCol w:w="2263"/>
            <w:gridCol w:w="2161"/>
            <w:gridCol w:w="2506"/>
            <w:gridCol w:w="211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SPECJALNOŚĆ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IMIĘ I NAZWISKO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NR UPRAWNIEŃ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PODPIS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ARCHITEKTONICZNA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PROJEKTANT GŁÓWNY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mgr inż. arch.</w:t>
              <w:br w:type="textWrapping"/>
              <w:t xml:space="preserve">Jacek Jarosław Szlis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nr upr. Bł /96/01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-5" w:right="81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Upr. bud. w spec. arch. do proj. bez ograniczeń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shd w:fill="f2f2f2" w:val="clear"/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ARCHITEKTONICZNA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SPRAWDZAJĄCY</w:t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mgr inż. arch.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Artur Jan Miernik</w:t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nr upr. BŁ-PdOKK/44/2005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-5" w:right="81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Upr. bud. w spec. arch. do proj. bez ograniczeń</w:t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ARCHITEKTONICZNA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ASYSTENT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mgr inż. arch.</w:t>
              <w:br w:type="textWrapping"/>
              <w:t xml:space="preserve">Bartosz Pięta                                                          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ff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WARSZAWA, 11 LUTY 2025 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b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SPIS TREŚCI: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dt>
      <w:sdtPr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3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12000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begin"/>
            <w:instrText xml:space="preserve"> TOC \h \u \z \t "Heading 1,1,Heading 2,2,Heading 3,3,Heading 4,4,Heading 5,5,Heading 6,6,"</w:instrText>
            <w:fldChar w:fldCharType="separate"/>
          </w:r>
          <w:hyperlink w:anchor="_heading=h.z337ya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 OŚWIADCZENIA ORAZ UPRAWNIENIA PROJEKTANTÓW</w:t>
              <w:tab/>
              <w:t xml:space="preserve">5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12000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3j2qqm3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 CZĘŚĆ OPISOWA</w:t>
              <w:tab/>
              <w:t xml:space="preserve">11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12000"/>
            </w:tabs>
            <w:spacing w:after="0" w:before="0" w:line="240" w:lineRule="auto"/>
            <w:ind w:left="36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1t3h5sf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2.1. RODZAJ I KATEGORIA OBIEKTU BUDOWLANEGO</w:t>
              <w:tab/>
              <w:t xml:space="preserve">11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12000"/>
            </w:tabs>
            <w:spacing w:after="0" w:before="0" w:line="240" w:lineRule="auto"/>
            <w:ind w:left="36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1y810tw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2.1.1. Informacje ogólne</w:t>
              <w:tab/>
              <w:t xml:space="preserve">11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12000"/>
            </w:tabs>
            <w:spacing w:after="0" w:before="0" w:line="240" w:lineRule="auto"/>
            <w:ind w:left="36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4i7ojhp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2.2.2. Stan istniejący</w:t>
              <w:tab/>
              <w:t xml:space="preserve">11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12000"/>
            </w:tabs>
            <w:spacing w:after="0" w:before="0" w:line="240" w:lineRule="auto"/>
            <w:ind w:left="36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4d34og8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2.2. ZAMIERZONY SPOSÓB UŻYTKOWANIA I PROGRAM UŻYTKOWY</w:t>
              <w:tab/>
              <w:t xml:space="preserve">12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12000"/>
            </w:tabs>
            <w:spacing w:after="0" w:before="0" w:line="240" w:lineRule="auto"/>
            <w:ind w:left="36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2xcytpi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2.3. ZAKRES PRAC, FORMA ARCHITEKTONICZNA, UKŁAD PRZESTRZENNY</w:t>
              <w:tab/>
              <w:t xml:space="preserve">12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12000"/>
            </w:tabs>
            <w:spacing w:after="0" w:before="0" w:line="240" w:lineRule="auto"/>
            <w:ind w:left="36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1ci93xb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2.4. CHARAKTERYSTYCZNE PARAMETRY OBIEKTU BUDOWLANEGO</w:t>
              <w:tab/>
              <w:t xml:space="preserve">12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12000"/>
            </w:tabs>
            <w:spacing w:after="0" w:before="0" w:line="240" w:lineRule="auto"/>
            <w:ind w:left="36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2bn6wsx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2.5. ROZWIĄZANIA KONSTRUKCYJNE I MATERIAŁOWE</w:t>
              <w:tab/>
              <w:t xml:space="preserve">12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12000"/>
            </w:tabs>
            <w:spacing w:after="0" w:before="0" w:line="240" w:lineRule="auto"/>
            <w:ind w:left="36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lnxbz9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2.6. GEOTECHNICZNE WARUNKI POSADOWIENIA</w:t>
              <w:tab/>
              <w:t xml:space="preserve">12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12000"/>
            </w:tabs>
            <w:spacing w:after="0" w:before="0" w:line="240" w:lineRule="auto"/>
            <w:ind w:left="36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4f1mdlm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2.7. WARUNKI DO KORZYSTANIA Z OBIEKTU PRZEZ OSOBY NIEPEŁNOSPRAWNE, W TYM STARSZE</w:t>
              <w:tab/>
              <w:t xml:space="preserve">12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12000"/>
            </w:tabs>
            <w:spacing w:after="0" w:before="0" w:line="240" w:lineRule="auto"/>
            <w:ind w:left="36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bookmarkStart w:colFirst="0" w:colLast="0" w:name="_heading=h.vruc1u51y43v" w:id="0"/>
          <w:bookmarkEnd w:id="0"/>
          <w:hyperlink w:anchor="_heading=h.2u6wntf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2.8. PARAMETRY TECHNICZNE OBIEKTU BUDOWLANEGO CHARAKTERYZUJĄCE WPŁYW OBIEKTU BUDOWLANEGO NA ŚRODOWISKO I JEGO WYKORZYSTYWANIE ORAZ NA ZDROWIE LUDZI I OBIEKTY SĄSIEDNIE</w:t>
              <w:tab/>
              <w:t xml:space="preserve">13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12000"/>
            </w:tabs>
            <w:spacing w:after="0" w:before="0" w:line="240" w:lineRule="auto"/>
            <w:ind w:left="36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19c6y18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2.8.1. Zapotrzebowanie i jakości wody oraz ilość i jakość odprowadzanych ścieków oraz wód opadowych</w:t>
              <w:tab/>
              <w:t xml:space="preserve">13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12000"/>
            </w:tabs>
            <w:spacing w:after="0" w:before="0" w:line="240" w:lineRule="auto"/>
            <w:ind w:left="36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28h4qwu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2.8.2. Emisja zanieczyszczeń gazowych</w:t>
              <w:tab/>
              <w:t xml:space="preserve">13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12000"/>
            </w:tabs>
            <w:spacing w:after="0" w:before="0" w:line="240" w:lineRule="auto"/>
            <w:ind w:left="36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nmf14n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2.8.3. Rodzaj i ilość wytwarzanych odpadów</w:t>
              <w:tab/>
              <w:t xml:space="preserve">13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12000"/>
            </w:tabs>
            <w:spacing w:after="0" w:before="0" w:line="240" w:lineRule="auto"/>
            <w:ind w:left="36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1mrcu09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2.8.4. Właściwości akustyczne, emisja drgań, promieniowanie</w:t>
              <w:tab/>
              <w:t xml:space="preserve">13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12000"/>
            </w:tabs>
            <w:spacing w:after="0" w:before="0" w:line="240" w:lineRule="auto"/>
            <w:ind w:left="36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111kx3o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2.8.5. Wpływ obiektu budowlanego na istniejący drzewostan, powierzchnię ziemi, wody powierzchniowe i podziemne</w:t>
              <w:tab/>
              <w:t xml:space="preserve">13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12000"/>
            </w:tabs>
            <w:spacing w:after="0" w:before="0" w:line="240" w:lineRule="auto"/>
            <w:ind w:left="36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206ipza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2.9. ANALIZA TECHNICZNA, ŚRODOWISKOWA I EKONOMICZNA MOŻLIWOŚCI REALIZACJI WYSOCE WYDAJNYCH SYSTEMÓW ALTERNATYWNYCH ZAOPATRZENIA W ENERGIĘ I CIEPŁO</w:t>
              <w:tab/>
              <w:t xml:space="preserve">13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12000"/>
            </w:tabs>
            <w:spacing w:after="0" w:before="0" w:line="240" w:lineRule="auto"/>
            <w:ind w:left="36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2zbgiuw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2.10. ANALIZA TECHNICZNYCH I EKONOMICZNYCH MOŻLIWOŚCI WYKORZYSTANIA URZĄDZEŃ, KTÓRE AUTOMATYCZNIE REGULUJĄ TEMPERATURĘ ODDZIELNIE W POSZCZEGÓLNYCH POMIESZCZENIACH LUB W WYZNACZONEJ STREFIE GRZEWCZEJ</w:t>
              <w:tab/>
              <w:t xml:space="preserve">13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12000"/>
            </w:tabs>
            <w:spacing w:after="0" w:before="0" w:line="240" w:lineRule="auto"/>
            <w:ind w:left="36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1egqt2p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2.11. WYPOSAŻENIE BUDOWLANO-INSTALACYJNE</w:t>
              <w:tab/>
              <w:t xml:space="preserve">14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12000"/>
            </w:tabs>
            <w:spacing w:after="0" w:before="0" w:line="240" w:lineRule="auto"/>
            <w:ind w:left="36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bookmarkStart w:colFirst="0" w:colLast="0" w:name="_heading=h.xr17tciyhwob" w:id="1"/>
          <w:bookmarkEnd w:id="1"/>
          <w:hyperlink w:anchor="_heading=h.welg2u83oo2n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2.12. BEZPIECZEŃSTWO POŻAROWE14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12000"/>
            </w:tabs>
            <w:spacing w:after="0" w:before="0" w:line="240" w:lineRule="auto"/>
            <w:ind w:left="36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d8uau1feer5l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2.12.1. Informacje o powierzchni wewnętrznej, kubaturze brutto, wysokości i liczbie kondygnacji</w:t>
              <w:tab/>
              <w:t xml:space="preserve">14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12000"/>
            </w:tabs>
            <w:spacing w:after="0" w:before="0" w:line="240" w:lineRule="auto"/>
            <w:ind w:left="36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lyt3pb36vn0m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2.12.2. Charakterystyka zagrożenia pożarowego</w:t>
              <w:tab/>
              <w:t xml:space="preserve">14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12000"/>
            </w:tabs>
            <w:spacing w:after="0" w:before="0" w:line="240" w:lineRule="auto"/>
            <w:ind w:left="36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1rvwp1q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2.12.3. Informacja o klasyfikacji pożarowej z uwagi na przeznaczenie i sposób użytkowania</w:t>
              <w:tab/>
              <w:t xml:space="preserve">14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12000"/>
            </w:tabs>
            <w:spacing w:after="0" w:before="0" w:line="240" w:lineRule="auto"/>
            <w:ind w:left="36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2r0uhxc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2.12.4. Informacje o kategorii zagrożenia ludzi oraz przewidywanej liczbie osób na każdej kondygnacji, a także w pomieszczeniach, których drzwi ewakuacyjne powinny otwierać się na zewnątrz pomieszczeń</w:t>
              <w:tab/>
              <w:t xml:space="preserve">15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12000"/>
            </w:tabs>
            <w:spacing w:after="0" w:before="0" w:line="240" w:lineRule="auto"/>
            <w:ind w:left="36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1664s55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2.12.5. Informacje o podziale na strefy pożarowe</w:t>
              <w:tab/>
              <w:t xml:space="preserve">15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5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12000"/>
            </w:tabs>
            <w:spacing w:after="0" w:before="0" w:line="240" w:lineRule="auto"/>
            <w:ind w:left="36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3q5sasy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2.12.6. Informacje o maksymalnych gęstościach obciążenia ogniowego poszczególnych stref pożarowych wraz z warunkami przyjętymi do jej określenia</w:t>
              <w:tab/>
              <w:t xml:space="preserve">15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5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12000"/>
            </w:tabs>
            <w:spacing w:after="0" w:before="0" w:line="240" w:lineRule="auto"/>
            <w:ind w:left="36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25b2l0r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2.12.7. Informacje o klasie odporności pożarowej oraz odporności ogniowej i stopień rozprzestrzeniania ognia przez elementy budowlane</w:t>
              <w:tab/>
              <w:t xml:space="preserve">15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5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12000"/>
            </w:tabs>
            <w:spacing w:after="0" w:before="0" w:line="240" w:lineRule="auto"/>
            <w:ind w:left="36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kgcv8k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2.12.8. Informacje o występowaniu materiałów wybuchowych oraz zagrożenia wybuchem, w tym pomieszczeń zagrożonych wybuchem</w:t>
              <w:tab/>
              <w:t xml:space="preserve">16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5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12000"/>
            </w:tabs>
            <w:spacing w:after="0" w:before="0" w:line="240" w:lineRule="auto"/>
            <w:ind w:left="36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1jlao46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2.12.9. Informacje o warunkach i strategii ewakuacji ludzi lub ich uratowania w inny sposób, uwzględniające liczbę i stan sprawności osób przebywających w obiekcie</w:t>
              <w:tab/>
              <w:t xml:space="preserve">16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5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12000"/>
            </w:tabs>
            <w:spacing w:after="0" w:before="0" w:line="240" w:lineRule="auto"/>
            <w:ind w:left="36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43ky6rz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2.12.10. Informacje o doborze urządzeń przeciwpożarowych oraz innych instalacji i urządzeń służących bezpieczeństwu pożarowemu wraz z określeniem zakresu i celu ich stosowania</w:t>
              <w:tab/>
              <w:t xml:space="preserve">16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5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12000"/>
            </w:tabs>
            <w:spacing w:after="0" w:before="0" w:line="240" w:lineRule="auto"/>
            <w:ind w:left="36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2iq8gzs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2.12.11. Informacje o przygotowaniu obiektu budowlanego do prowadzenia działań ratowniczych</w:t>
              <w:tab/>
              <w:t xml:space="preserve">17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5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12000"/>
            </w:tabs>
            <w:spacing w:after="0" w:before="0" w:line="240" w:lineRule="auto"/>
            <w:ind w:left="36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3hv69ve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2.12.12. Informacje o usytuowaniu z uwagi na bezpieczeństwo pożarowe</w:t>
              <w:tab/>
              <w:t xml:space="preserve">17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5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12000"/>
            </w:tabs>
            <w:spacing w:after="0" w:before="0" w:line="240" w:lineRule="auto"/>
            <w:ind w:left="36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4h042r0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2.12.13. Informacje o rozwiązaniach zamiennych w stosunku do ochrony pożarowej</w:t>
              <w:tab/>
              <w:t xml:space="preserve">17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5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2w5ecyt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 CZĘŚĆ RYSUNKOWA</w:t>
              <w:tab/>
              <w:t xml:space="preserve">17</w:t>
            </w:r>
          </w:hyperlink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12000"/>
        </w:tabs>
        <w:spacing w:after="0" w:before="0" w:line="240" w:lineRule="auto"/>
        <w:ind w:left="36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76" w:lineRule="auto"/>
        <w:ind w:left="1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8"/>
          <w:szCs w:val="28"/>
          <w:u w:val="single"/>
          <w:shd w:fill="auto" w:val="clear"/>
          <w:vertAlign w:val="baseline"/>
        </w:rPr>
      </w:pPr>
      <w:bookmarkStart w:colFirst="0" w:colLast="0" w:name="_heading=h.z337ya" w:id="2"/>
      <w:bookmarkEnd w:id="2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53" w:before="0" w:line="276" w:lineRule="auto"/>
        <w:ind w:left="2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1. OŚWIADCZENIA ORAZ UPRAWNIENIA PROJEKTANTÓW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WARSZAWA, 11 LUTY 2025 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4" w:right="0" w:hanging="1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4" w:right="0" w:hanging="1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4" w:right="0" w:hanging="1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4" w:right="0" w:hanging="1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4" w:right="0" w:hanging="1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OŚWIADCZENIE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tyjcwt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-36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Zgodnie z art. 34 ust. 3d pkt 3 Prawa Budowlanego z dnia 7 lipca 1994 r. (Dz. U. 2020 r poz. 1333 z późniejszymi zm.)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niżej podpisani oświadczamy, że wymieniony projekt „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PRZEBUDOWA ORAZ ZMIANA SPOSOBU UŻYTKOWANIA MAGAZYNKU NA SALĘ ZAJĘĆ REWALIDACYJNYCH W SZKOLE PODSTAWOWEJ NR 2 W CZARNKOWIE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”, został sporządzony zgodnie z obowiązującymi przepisami oraz zasadami wiedzy technicznej.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062.0" w:type="dxa"/>
        <w:jc w:val="left"/>
        <w:tblInd w:w="-21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265"/>
        <w:gridCol w:w="1699"/>
        <w:gridCol w:w="2977"/>
        <w:gridCol w:w="2121"/>
        <w:tblGridChange w:id="0">
          <w:tblGrid>
            <w:gridCol w:w="2265"/>
            <w:gridCol w:w="1699"/>
            <w:gridCol w:w="2977"/>
            <w:gridCol w:w="2121"/>
          </w:tblGrid>
        </w:tblGridChange>
      </w:tblGrid>
      <w:tr>
        <w:trPr>
          <w:cantSplit w:val="0"/>
          <w:tblHeader w:val="0"/>
        </w:trPr>
        <w:tc>
          <w:tcPr>
            <w:shd w:fill="f2f2f2" w:val="clear"/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SPECJALNOŚĆ</w:t>
            </w:r>
          </w:p>
        </w:tc>
        <w:tc>
          <w:tcPr>
            <w:shd w:fill="f2f2f2" w:val="clear"/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IMIĘ I NAZWISKO</w:t>
            </w:r>
          </w:p>
        </w:tc>
        <w:tc>
          <w:tcPr>
            <w:shd w:fill="f2f2f2" w:val="clear"/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NR UPRAWNIEŃ</w:t>
            </w:r>
          </w:p>
        </w:tc>
        <w:tc>
          <w:tcPr>
            <w:shd w:fill="f2f2f2" w:val="clear"/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PODPIS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ARCHITEKTONICZNA</w:t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PROJEKTANT GŁÓWNY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mgr inż. arch. Jacek Jarosław Szlis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nr upr. Bł /96/01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-5" w:right="81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Upr. bud. w spec. arch. do proj. bez ograniczeń</w:t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68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32"/>
          <w:szCs w:val="32"/>
          <w:u w:val="single"/>
          <w:shd w:fill="auto" w:val="clear"/>
          <w:vertAlign w:val="baseline"/>
        </w:rPr>
      </w:pPr>
      <w:bookmarkStart w:colFirst="0" w:colLast="0" w:name="_heading=h.3dy6vkm" w:id="4"/>
      <w:bookmarkEnd w:id="4"/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  <w:pict>
          <v:shape id="_x0000_s0" style="width:445pt;height:627pt;" type="#_x0000_t75">
            <v:imagedata r:id="rId1" o:title=""/>
          </v:shape>
          <o:OLEObject DrawAspect="Content" r:id="rId2" ObjectID="_1804171380" ProgID="AcroExch.Document.11" ShapeID="_x0000_s0" Type="Embed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8"/>
          <w:szCs w:val="28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ff0000"/>
          <w:sz w:val="32"/>
          <w:szCs w:val="32"/>
          <w:u w:val="single"/>
          <w:shd w:fill="auto" w:val="clear"/>
          <w:vertAlign w:val="baseline"/>
        </w:rPr>
        <w:drawing>
          <wp:inline distB="0" distT="0" distL="114300" distR="114300">
            <wp:extent cx="5702300" cy="7607300"/>
            <wp:effectExtent b="0" l="0" r="0" t="0"/>
            <wp:docPr id="1031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02300" cy="7607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2"/>
          <w:szCs w:val="22"/>
          <w:u w:val="single"/>
          <w:shd w:fill="auto" w:val="clear"/>
          <w:vertAlign w:val="baseline"/>
        </w:rPr>
        <w:drawing>
          <wp:inline distB="0" distT="0" distL="114300" distR="114300">
            <wp:extent cx="5743575" cy="8121015"/>
            <wp:effectExtent b="0" l="0" r="0" t="0"/>
            <wp:docPr id="1033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43575" cy="812101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8"/>
          <w:szCs w:val="28"/>
          <w:u w:val="singl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  <w:drawing>
          <wp:inline distB="0" distT="0" distL="114300" distR="114300">
            <wp:extent cx="5704840" cy="8166735"/>
            <wp:effectExtent b="0" l="0" r="0" t="0"/>
            <wp:docPr id="1032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04840" cy="816673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76" w:lineRule="auto"/>
        <w:ind w:left="1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8"/>
          <w:szCs w:val="28"/>
          <w:u w:val="single"/>
          <w:shd w:fill="auto" w:val="clear"/>
          <w:vertAlign w:val="baseline"/>
        </w:rPr>
      </w:pPr>
      <w:bookmarkStart w:colFirst="0" w:colLast="0" w:name="_heading=h.3j2qqm3" w:id="5"/>
      <w:bookmarkEnd w:id="5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53" w:before="0" w:line="276" w:lineRule="auto"/>
        <w:ind w:left="2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bookmarkStart w:colFirst="0" w:colLast="0" w:name="_heading=h.1t3h5sf" w:id="6"/>
      <w:bookmarkEnd w:id="6"/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2. CZĘŚĆ OPISOWA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5" w:right="0" w:firstLine="1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2.1. RODZAJ I KATEGORIA OBIEKTU BUDOWLANEGO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7" w:before="0" w:line="276" w:lineRule="auto"/>
        <w:ind w:left="-5" w:right="0" w:firstLine="1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bookmarkStart w:colFirst="0" w:colLast="0" w:name="_heading=h.1y810tw" w:id="7"/>
      <w:bookmarkEnd w:id="7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2.1.1. Informacje ogólne 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Przedmiotem opracowania jest „PRZEBUDOWA ORAZ ZMIANA SPOSOBU UŻYTKOWANIA MAGAZYNKU NA SALĘ ZAJĘĆ REWALIDACYJNYCH W SZKOLE PODSTAWOWEJ NR 2 W CZARNKOWIE” pod adresem: UL. WRONIECKA 136, 64-700 CZARNKÓW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1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Zakres opracowania obejmuje wyłącznie budynek działce ewid. nr 2211/2 obręb 0001.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Kategoria obiektu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–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IX: budynki kultury, nauki i oświaty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Rodzaj obiektu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– budynek szkoły podstawowej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Wysokość obiektu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–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niskie (N)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Kategorii zagrożenia ludzi: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ZL 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4i7ojhp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7" w:before="0" w:line="276" w:lineRule="auto"/>
        <w:ind w:left="-5" w:right="0" w:firstLine="1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2.2.2. Stan istniejący 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Budynek objęty opracowaniem to budynek Szkoły Podstawowej Nr 2 w Czarnkowie mieszczący się przy ulicy Wronieckiej, tworzy kompleks połączonych obiektów, w skład którego wchodzą budynek główny, hala sportowo-widowiskowa, wyremontowana i rozbudowana część szkoły (tzw. łącznik) oraz mała sala gimnastyczna.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Budynek główny szkoły stanowi trzykondygnacyjny obiekt z dachem jednospadowym, częściowo podpiwniczony, hala sportowo-widowiskowa składa się z dwóch części - jednokondygnacyjnej sali sportowo-widowiskowej i dwukondygnacyjnego zaplecza z podpiwniczeniem, wyremontowana i rozbudowana część szkoły (łącznik) stanowiący połączenie budynku głównego z małą salą gimnastyczną jest trzykondygnacyjny w całości podpiwniczony z dachem płaskim, natomiast mała sala gimnastyczna jest obiektem jednokondygnacyjnym bez podpiwniczenia z dachem jednospadowym.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Poszczególne części szkoły stanowią powiązane funkcjonalnie i przestrzennie obiekty, wykorzystywane i użytkowane na cele dydaktyczne oraz sportowo-rekreacyjne (sala sportowo-widowiskowa, sala gimnastyczna).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1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Powierzchnie użytkowe (wewnętrzne) poszczególnych kondygnacji wynoszą: podpiwniczenie w części hali sportowo-widowiskowej około 428,56 m2, natomiast w części wyremontowanej i rozbudowanej około 321,03 m2, (wraz z pomieszczeniem byłej kotłowni jako pomieszczenie źródła ciepła - węzeł cieplny - 51,77 m2 oraz kanałem technicznym - 13,14 m2), pierwsza kondygnacja 2640,2 m2 (hala sportowo-widowiskowa 1611,09 m2, główna części szkoły 847,16 m2, mała sala gimnastyczna 181,95 m2), druga kondygnacja 1101,25 m2 (zaplecze hali sportowo-widowiskowej 517,22 m2, główna części szkoły 848,66 m2), trzecia kondygnacja 820,12 m2.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4g2w9ckrz0yp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76" w:lineRule="auto"/>
        <w:ind w:left="-6" w:right="0" w:firstLine="11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bookmarkStart w:colFirst="0" w:colLast="0" w:name="_heading=h.4d34og8" w:id="10"/>
      <w:bookmarkEnd w:id="10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-6" w:right="0" w:firstLine="11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2.2. ZAMIERZONY SPOSÓB UŻYTKOWANIA I PROGRAM UŻYTKOWY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Celem opracowania jest przebudowa i zmiana sposobu użytkowania magazynu na salę do zajęć rewalidacyjnych. 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Projekt nie zmienia zasad bezpieczeństwa pożarowego budynku ani warunków BHP przyjętych dla budynku.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2xcytpi" w:id="11"/>
      <w:bookmarkEnd w:id="1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7" w:before="0" w:line="276" w:lineRule="auto"/>
        <w:ind w:left="-5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2.3. ZAKRES PRAC, FORMA ARCHITEKTONICZNA, UKŁAD PRZESTRZENNY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26in1rg" w:id="12"/>
      <w:bookmarkEnd w:id="12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Zakres prac związany z przebudową: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wykucie otworu okiennego, 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wymiana nawierzchni podłogi, 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montaż sufitu podwieszanego. 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1ci93xb" w:id="13"/>
      <w:bookmarkEnd w:id="1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3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2.4. CHARAKTERYSTYCZNE PARAMETRY OBIEKTU BUDOWLANEGO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Powierzchnia całkowita zabudowy budynków</w:t>
        <w:tab/>
        <w:tab/>
        <w:tab/>
        <w:tab/>
        <w:t xml:space="preserve">– 2 939,0 m2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Powierzchnia całkowita budynków (wewnętrzna, użytkowa)</w:t>
        <w:tab/>
        <w:tab/>
        <w:t xml:space="preserve">– 5 490,0 m2 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Kubatura całkowita budynków szkoły</w:t>
        <w:tab/>
        <w:tab/>
        <w:tab/>
        <w:tab/>
        <w:tab/>
        <w:t xml:space="preserve">– 34 175,0 m3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Ilość kondygnacji nadziemnych: </w:t>
        <w:tab/>
        <w:tab/>
        <w:tab/>
        <w:tab/>
        <w:tab/>
        <w:tab/>
        <w:t xml:space="preserve">- do 3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Ilość kondygnacji podziemnych:</w:t>
        <w:tab/>
        <w:tab/>
        <w:tab/>
        <w:tab/>
        <w:tab/>
        <w:tab/>
        <w:t xml:space="preserve">- 1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Wysokość całkowita budynków &lt;12 m </w:t>
        <w:tab/>
        <w:tab/>
        <w:tab/>
        <w:tab/>
        <w:tab/>
        <w:t xml:space="preserve">- 11,80 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2bn6wsx" w:id="14"/>
      <w:bookmarkEnd w:id="1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7" w:before="0" w:line="276" w:lineRule="auto"/>
        <w:ind w:left="-5" w:right="0" w:firstLine="1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2.5. ROZWIĄZANIA KONSTRUKCYJNE I MATERIAŁOWE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Opis ogólny konstrukcji budynku: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Projekt nie zakłada ingerencji w konstrukcyjne elementy budynku poza wykonaniem otworu okiennego w zewnętrznej ścianie budynku.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ramach projekt w ścianie kontrukcyjnej wbudowane zostanie nadproże, wykuty zostanie otwór okienny w którym zostanie zamontowane okno o wym. 180 x 205 cm. Okno PVC, w kolorze białym RAL 9003 - dopasowanym do stolarki istniejącej. Część przeszkleń stała, część rozwierno uchylna. Współczynnik przenikania ciepła min. Uw=0,9 W/m2K. Okna w montażu ciepłym.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lnxbz9" w:id="15"/>
      <w:bookmarkEnd w:id="1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7" w:before="0" w:line="276" w:lineRule="auto"/>
        <w:ind w:left="-5" w:right="0" w:firstLine="1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2.6. GEOTECHNICZNE WARUNKI POSADOWIENIA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4f1mdlm" w:id="16"/>
      <w:bookmarkEnd w:id="16"/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Zakres projektu nie wymaga ustalenia warunków geotechnicznych.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7" w:before="0" w:line="276" w:lineRule="auto"/>
        <w:ind w:left="-5" w:right="0" w:firstLine="1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2.7. WARUNKI DO KORZYSTANIA Z OBIEKTU PRZEZ OSOBY NIEPEŁNOSPRAWNE, W TYM STARSZE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2u6wntf" w:id="17"/>
      <w:bookmarkEnd w:id="17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Bez zmian.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5" w:right="0" w:firstLine="1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2.8. PARAMETRY TECHNICZNE OBIEKTU BUDOWLANEGO CHARAKTERYZUJĄCE WPŁYW OBIEKTU BUDOWLANEGO NA ŚRODOWISKO I JEGO WYKORZYSTYWANIE ORAZ NA ZDROWIE LUDZI I OBIEKTY SĄSIEDNIE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7" w:before="0" w:line="276" w:lineRule="auto"/>
        <w:ind w:left="-5" w:right="0" w:firstLine="1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bookmarkStart w:colFirst="0" w:colLast="0" w:name="_heading=h.19c6y18" w:id="18"/>
      <w:bookmarkEnd w:id="18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2.8.1. Zapotrzebowanie i jakości wody oraz ilość i jakość odprowadzanych ścieków oraz wód opadowych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8.0000000000000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Budynek posiada podłączenie do wodociągu miejskiego. 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8.0000000000000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8.0000000000000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Projekt nie zakłada zmian w zakresie zapotrzebowania w ilość wody i jakoś wody, ilości ścieków czy odprowadzenie wód opadowych.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28h4qwu" w:id="19"/>
      <w:bookmarkEnd w:id="1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7" w:before="0" w:line="276" w:lineRule="auto"/>
        <w:ind w:left="-5" w:right="0" w:firstLine="1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2.8.2. Emisja zanieczyszczeń gazowych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Bez zmian - Eksploatacja budynku ze względu na jego funkcję oraz sama realizacja zamierzonych robót budowlanych nie wiąże się z emisją zanieczyszczeń gazowych, pyłowych, ani płynnych.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nmf14n" w:id="20"/>
      <w:bookmarkEnd w:id="2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7" w:before="0" w:line="276" w:lineRule="auto"/>
        <w:ind w:left="-5" w:right="0" w:firstLine="1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2.8.3. Rodzaj i ilość wytwarzanych odpadów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37m2jsg" w:id="21"/>
      <w:bookmarkEnd w:id="21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Bez zmian - odpady wytwarzane w obiekcie będą usuwane przez użytkowników obiektu na zasadach ustalonych z administratorem obiektu, do pojemników w wyznaczonym miejscu. Śmieci będą wywożone przez wyspecjalizowane służby.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1mrcu09" w:id="22"/>
      <w:bookmarkEnd w:id="2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120" w:line="276" w:lineRule="auto"/>
        <w:ind w:left="-6" w:right="0" w:firstLine="11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2.8.4. Właściwości akustyczne, emisja drgań, promieniowanie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Bez zmian - Eksploatacja budynku nie jest związana z emisją hałasu oraz wibracji, a także promieniowania, w szczególności jonizującego pola elektromagnetycznego ani innych zakłóceń.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111kx3o" w:id="23"/>
      <w:bookmarkEnd w:id="2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12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2.8.5. Wpływ obiektu budowlanego na istniejący drzewostan, powierzchnię ziemi, wody powierzchniowe i podziemne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Bez zmian - Przedmiotowa inwestycja nie wpływa istniejący drzewostan, utwardzenia powodują zmniejszenie się powierzchni biologicznie czynnej, wody opadowe będą rozprowadzane w granicy działki inwestora, brak ingerencji w wody podziemne.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206ipza" w:id="24"/>
      <w:bookmarkEnd w:id="2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7" w:before="0" w:line="276" w:lineRule="auto"/>
        <w:ind w:left="-5" w:right="0" w:firstLine="1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2.9. ANALIZA TECHNICZNA, ŚRODOWISKOWA I EKONOMICZNA MOŻLIWOŚCI REALIZACJI WYSOCE WYDAJNYCH SYSTEMÓW ALTERNATYWNYCH ZAOPATRZENIA W ENERGIĘ I CIEPŁO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Bez zmian.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2zbgiuw" w:id="25"/>
      <w:bookmarkEnd w:id="2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7" w:before="0" w:line="276" w:lineRule="auto"/>
        <w:ind w:left="-5" w:right="0" w:firstLine="1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2.10. ANALIZA TECHNICZNYCH I EKONOMICZNYCH MOŻLIWOŚCI WYKORZYSTANIA URZĄDZEŃ, KTÓRE AUTOMATYCZNIE REGULUJĄ TEMPERATURĘ ODDZIELNIE W POSZCZEGÓLNYCH POMIESZCZENIACH LUB W WYZNACZONEJ STREFIE GRZEWCZEJ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1egqt2p" w:id="26"/>
      <w:bookmarkEnd w:id="26"/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Bez zmian.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7" w:before="0" w:line="276" w:lineRule="auto"/>
        <w:ind w:left="-5" w:right="0" w:firstLine="1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2.11. WYPOSAŻENIE BUDOWLANO-INSTALACYJNE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Budynek wyposażony jest w instalacje: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centralnego ogrzewania,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wodno-kanalizacyjna,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elektryczna,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wentylacji grawitacyjnej i mechanicznej.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Projekt nie zakłada zmian w istniejących instalacjach budynku.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welg2u83oo2n" w:id="27"/>
      <w:bookmarkEnd w:id="2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7" w:before="0" w:line="276" w:lineRule="auto"/>
        <w:ind w:left="-5" w:right="0" w:firstLine="1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2.12. BEZPIECZEŃSTWO POŻAROWE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Projekt nie zmienia zasad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bezpieczeństwa pożarowego budynku ani warunków BHP przyjętych dla budynku.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Zakres opracowania dot. tylko jednego pomieszczenia o powierzchni 21,54 m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sz w:val="22"/>
          <w:szCs w:val="22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 usytuowanego na parterze budynku 3-kondygnacyjnego.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d8uau1feer5l" w:id="28"/>
      <w:bookmarkEnd w:id="2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5" w:right="0" w:firstLine="1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2.12.1. Informacje o powierzchni wewnętrznej, kubaturze brutto, wysokości i liczbie kondygnacji </w:t>
      </w:r>
      <w:r w:rsidDel="00000000" w:rsidR="00000000" w:rsidRPr="00000000">
        <w:rPr>
          <w:b w:val="1"/>
          <w:i w:val="0"/>
          <w:smallCaps w:val="0"/>
          <w:strike w:val="0"/>
          <w:sz w:val="24"/>
          <w:szCs w:val="24"/>
          <w:u w:val="single"/>
          <w:shd w:fill="auto" w:val="clear"/>
          <w:vertAlign w:val="baseline"/>
          <w:rtl w:val="0"/>
        </w:rPr>
        <w:t xml:space="preserve">segmentu w którym znajduje się przebudowywane pomieszczenie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firstLine="10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Powierzchnia użytkowa: </w:t>
      </w:r>
      <w:r w:rsidDel="00000000" w:rsidR="00000000" w:rsidRPr="00000000">
        <w:rPr>
          <w:sz w:val="22"/>
          <w:szCs w:val="22"/>
          <w:rtl w:val="0"/>
        </w:rPr>
        <w:t xml:space="preserve">1053,37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 m2 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firstLine="10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Kubatura netto: </w:t>
      </w:r>
      <w:r w:rsidDel="00000000" w:rsidR="00000000" w:rsidRPr="00000000">
        <w:rPr>
          <w:sz w:val="22"/>
          <w:szCs w:val="22"/>
          <w:rtl w:val="0"/>
        </w:rPr>
        <w:t xml:space="preserve">3 587,44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 m3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Wys. Budynku od poziomu terenu: </w:t>
      </w:r>
      <w:r w:rsidDel="00000000" w:rsidR="00000000" w:rsidRPr="00000000">
        <w:rPr>
          <w:sz w:val="22"/>
          <w:szCs w:val="22"/>
          <w:rtl w:val="0"/>
        </w:rPr>
        <w:t xml:space="preserve">11,58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 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firstLine="10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single"/>
          <w:shd w:fill="auto" w:val="clear"/>
          <w:vertAlign w:val="baseline"/>
          <w:rtl w:val="0"/>
        </w:rPr>
        <w:t xml:space="preserve">Wysokość obiektu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 –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niskie (N)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firstLine="10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Liczba kondygnacji nadziemnych: </w:t>
      </w:r>
      <w:r w:rsidDel="00000000" w:rsidR="00000000" w:rsidRPr="00000000">
        <w:rPr>
          <w:sz w:val="22"/>
          <w:szCs w:val="22"/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firstLine="10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o8js2oh5x0an" w:id="29"/>
      <w:bookmarkEnd w:id="29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Liczba kondygnacji podziemnych: </w:t>
      </w:r>
      <w:r w:rsidDel="00000000" w:rsidR="00000000" w:rsidRPr="00000000">
        <w:rPr>
          <w:sz w:val="22"/>
          <w:szCs w:val="22"/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5" w:right="0" w:firstLine="1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5" w:right="0" w:firstLine="1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bookmarkStart w:colFirst="0" w:colLast="0" w:name="_heading=h.lyt3pb36vn0m" w:id="30"/>
      <w:bookmarkEnd w:id="3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2.12.2. Charakterystyka zagrożenia pożarowego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[w tym informacje o parametrach pożarowych materiałów niebezpiecznych pożarowo oraz zagrożeniach wynikających z procesów technologicznych, a także w zależności od potrzeb –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charakterystykę pożarów przyjętych do celów projektowych]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W budynku nie będą użytkowane materiały niebezpieczne pożarowo.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Pozostałe materiały palne, które mogą występować w obiekcie to materiały palne stanowiące jego wyposażenie i wystrój, takie jak :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- papier, kartony,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- wyroby z drewna i materiałów drewnopochodnych (meble),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- pianki poliuretanowe w meblach,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- sprzęt rtv, agd,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- ubrania, firany, zasłony,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- wyroby spożywcze.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1rvwp1q" w:id="31"/>
      <w:bookmarkEnd w:id="31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Wyposażenie sali zajęć rewalidacyjnych typowe: meble i przedmioty szkolno-edukacyjne.</w:t>
      </w:r>
    </w:p>
    <w:p w:rsidR="00000000" w:rsidDel="00000000" w:rsidP="00000000" w:rsidRDefault="00000000" w:rsidRPr="00000000" w14:paraId="000000E8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3" w:before="0" w:line="252.00000000000003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4"/>
          <w:szCs w:val="24"/>
          <w:u w:val="single"/>
          <w:shd w:fill="auto" w:val="clear"/>
          <w:vertAlign w:val="baseline"/>
          <w:rtl w:val="0"/>
        </w:rPr>
        <w:t xml:space="preserve">2.12.3. Informacja o klasyfikacji pożarowej z uwagi na przeznaczenie i sposób użytkowania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4bvk7pj" w:id="32"/>
      <w:bookmarkEnd w:id="32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Zgodnie z § 209 rozporządzenia rozporządzenie Ministra Infrastruktury z dnia 12 kwietnia 2002 roku w sprawie warunków technicznych, jakim powinny odpowiadać budynki i ich usytuowanie, budynek objęty opracowaniem zalicza się do kategorii zagrożenia ludzi: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 ZL III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2r0uhxc" w:id="33"/>
      <w:bookmarkEnd w:id="3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7" w:before="0" w:line="276" w:lineRule="auto"/>
        <w:ind w:left="-5" w:right="0" w:firstLine="14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4"/>
          <w:szCs w:val="24"/>
          <w:u w:val="single"/>
          <w:shd w:fill="auto" w:val="clear"/>
          <w:vertAlign w:val="baseline"/>
          <w:rtl w:val="0"/>
        </w:rPr>
        <w:t xml:space="preserve">2.12.4. Informacje o kategorii zagrożenia ludzi oraz przewidywanej liczbie osób na każdej kondygnacji, a także w pomieszczeniach, których drzwi ewakuacyjne powinny otwierać się na zewnątrz pomieszczeń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Przewidywana maksymalna ilość osób mogących przebywać jednocześnie w całym budynku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pozostaje bez zmian.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W budynku znajdują się pomieszczenia przeznaczone do przybywania ponad 6 osób, w których drzwi ewakuacyjne otwierają się na zewnątrz pomieszczeń.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1664s55" w:id="34"/>
      <w:bookmarkEnd w:id="34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W przebudowywanym pomieszczeniu dla rewalidacji przewiduje się pobyt do kilku osób.</w:t>
      </w:r>
    </w:p>
    <w:p w:rsidR="00000000" w:rsidDel="00000000" w:rsidP="00000000" w:rsidRDefault="00000000" w:rsidRPr="00000000" w14:paraId="000000F0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7" w:before="0" w:line="276" w:lineRule="auto"/>
        <w:ind w:left="-5" w:right="0" w:firstLine="14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4"/>
          <w:szCs w:val="24"/>
          <w:u w:val="single"/>
          <w:shd w:fill="auto" w:val="clear"/>
          <w:vertAlign w:val="baseline"/>
          <w:rtl w:val="0"/>
        </w:rPr>
        <w:t xml:space="preserve">2.12.5. Informacje o podziale na strefy pożarowe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W kompleksie obiektów szkoły wydzielono trzy strefy pożarowe: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Strefa pożarowa nr 1 - SP1 obejmuje całą halę sportowo-widowiskową - 2539 m2,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Strefa pożarowa nr 2 - SP2 obejmuje pozostałą część szkoły z wyłączeniem małej sali gimnastycznej - 2769 m2,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Strefa pożarowa nr 3 - SP3 stanowi budynek małej sali gimnastycznej - 182 m2.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3q5sasy" w:id="35"/>
      <w:bookmarkEnd w:id="35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Przebudowywane pomieszczenie usytuowane jest w strefie SP2 na parterze.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7" w:before="0" w:line="276" w:lineRule="auto"/>
        <w:ind w:left="-5" w:right="0" w:firstLine="14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4"/>
          <w:szCs w:val="24"/>
          <w:u w:val="single"/>
          <w:shd w:fill="auto" w:val="clear"/>
          <w:vertAlign w:val="baseline"/>
          <w:rtl w:val="0"/>
        </w:rPr>
        <w:t xml:space="preserve">2.12.6. Informacje o maksymalnych gęstościach obciążenia ogniowego poszczególnych stref pożarowych wraz z warunkami przyjętymi do jej określenia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Powierzchnie wewnętrzne poszczególnych części szkoły - stref pożarowych nie przekraczają dopuszczalnych powierzchni dla stref pożarowych w tego rodzaju obiektach (do 8000 m2).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25b2l0r" w:id="36"/>
      <w:bookmarkEnd w:id="3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7" w:before="0" w:line="276" w:lineRule="auto"/>
        <w:ind w:left="-5" w:right="0" w:firstLine="14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4"/>
          <w:szCs w:val="24"/>
          <w:u w:val="single"/>
          <w:shd w:fill="auto" w:val="clear"/>
          <w:vertAlign w:val="baseline"/>
          <w:rtl w:val="0"/>
        </w:rPr>
        <w:t xml:space="preserve">2.12.7. Informacje o klasie odporności pożarowej oraz odporności ogniowej i stopień rozprzestrzeniania ognia przez elementy budowlane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Wewnątrz kompleksu obiektów szkoły znajdują się trzy klatki schodowe o konstrukcji żelbetowej, jedno i dwubiegowe, nie wydzielona pożarowo.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1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Wydzielenia pożarowe poszczególnych pomieszczeń (magazyn sprzętu sportowego z centralą instalacji wentylacyjno-klimatyzacyjnej, pomieszczenie źródła ciepła - była kotłownia oraz kanał techniczny - jako pomieszczenia techniczne) dokonano ścianami oraz stropami oddzielenia przeciwpożarowego o klasie odporności ogniowej co najmniej REI 60, natomiast w drzwiach magazynu sprzętu przy sali sportowo-widowiskowej zastosowano drzwi przeciwpożarowe o odporności ogniowej El 30 (drzwi dwuskrzydłowe sytemu HUECK typu A72 posiadające aprobatę techniczną ITB AT-15-3560/2000 oraz deklarację zgodności nr 1/8/2003).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Wydzielenia poszczególnych stref pożarowych dokonano ścianami oddzielenia przeciwpożarowego o klasie odporności ogniowej co najmniej REI 120, natomiast w otworach pomiędzy tymi strefami zastosowano drzwi przeciwpożarowe o klasie odporności ogniowej EI 60. Pomiędzy główną częścią szkoły a halą sportowo-widowiskową na kondygnacji parteru i piętra zastosowano drzwi przeciwpożarowe firmy UNIMA S.A. posiadające aprobatę techniczną ITB AT-15-2504/97 i deklarację zgodności ITB-90/01. Natomiast pomiędzy wyremontowaną i rozbudowaną częścią szkoły a małą salą gimnastyczną zastosowano drzwi przeciwpożarowe firmy POL-SKONE z systemem Halspan, posiadające krajową ocenę techniczną ITB-KOT-2018/0407 i deklarację właściwości użytkowych Nr 22/B/2018 (główne drzwi wejściowe do sali) oraz drzwi przeciwpożarowe firmy ALUDOOR S.C. z systemem Ponzio PE78EI, posiadające aprobatę techniczną ITB AT-15-7540/2016 i deklaracje właściwości użytkowych Nr 60/Dz/S/2017/1 (drzwi pomiędzy salą a pomieszczeniem wykładowców wychowania fizycznego).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Wszystkie elementy budynków w zakresie stopnia rozprzestrzeniania ognia muszą spełniać wymagania NRO (nierozprzestrzeniające ognia).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W strefach pożarowych ZL stosowanie do wykończenia wnętrz materiałów i wyrobów łatwo zapalnych, których produkty rozkładu termicznego są bardzo toksyczne lub intensywnie dymiące, jest zabronione. 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Okładziny sufitów oraz sufity podwieszone należy wykonywać z materiałów niepalnych lub niezapalnych, niekapiących i nie odpadających pod wpływem ognia.</w:t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kgcv8k" w:id="37"/>
      <w:bookmarkEnd w:id="3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7" w:before="0" w:line="276" w:lineRule="auto"/>
        <w:ind w:left="-5" w:right="0" w:firstLine="14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4"/>
          <w:szCs w:val="24"/>
          <w:u w:val="single"/>
          <w:shd w:fill="auto" w:val="clear"/>
          <w:vertAlign w:val="baseline"/>
          <w:rtl w:val="0"/>
        </w:rPr>
        <w:t xml:space="preserve">2.12.8. Informacje o występowaniu materiałów wybuchowych oraz zagrożenia wybuchem, w tym pomieszczeń zagrożonych wybuchem</w:t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34g0dwd" w:id="38"/>
      <w:bookmarkEnd w:id="38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W budynku nie występują strefy i pomieszczenia zagrożone wybuchem.</w:t>
      </w:r>
    </w:p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1jlao46" w:id="39"/>
      <w:bookmarkEnd w:id="3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7" w:before="0" w:line="276" w:lineRule="auto"/>
        <w:ind w:left="-5" w:right="0" w:firstLine="14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4"/>
          <w:szCs w:val="24"/>
          <w:u w:val="single"/>
          <w:shd w:fill="auto" w:val="clear"/>
          <w:vertAlign w:val="baseline"/>
          <w:rtl w:val="0"/>
        </w:rPr>
        <w:t xml:space="preserve">2.12.9. Informacje o warunkach i strategii ewakuacji ludzi lub ich uratowania w inny sposób, uwzględniające liczbę i stan sprawności osób przebywających w obiekcie</w:t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Z każdego miejsca w poszczególnych obiektach szkoły, przeznaczonego do przebywania ludzi, zapewnia się odpowiednie warunki ewakuacji, umożliwiające szybkie i bezpieczne opuszczanie strefy pożarowej objętej ewentualnym pożarem, dostosowane do liczby i stanu sprawności osób przebywających w obiektach oraz jego funkcji, konstrukcji i wymiarów, a także zastosowanie technicznych środków zabezpieczenia przeciwpożarowego, polegających na: zapewnieniu dostatecznej liczby, wysokości i szerokości wyjść ewakuacyjnych; zachowaniu dopuszczalnej długości, wysokości i szerokości przejść oraz dojść ewakuacyjnych; zapewnieniu bezpiecznej pożarowo obudowy i wydzieleń dróg ewakuacyjnych i pomieszczeń; zapewnieniu oświetlenia awaryjnego w pomieszczeniach i na drogach ewakuacyjnych, w których jest ono niezbędne do ewakuacji ludzi.</w:t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Ze strefy pożarowej, gdzie mogą przebywać osoby, powinny być zapewnione wyjścia ewakuacyjne prowadzące bezpośrednio na zewnątrz budynku lub do innej strefy pożarowej. Wyjścia z pomieszczeń na drogi ewakuacyjne powinny być zamykane drzwiami. W pomieszczeniach, od najdalszego miejsca, w którym może przebywać człowiek, do wyjścia ewakuacyjnego na drogę ewakuacyjną powinno być zapewnione odpowiednie przejście ewakuacyjne. Natomiast dojścia ewakuacyjne prowadzone od wyjścia z pomieszczeń do wyjścia do innej strefy pożarowej lub na zewnątrz budynku powinny posiadać wymagane długości.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43ky6rz" w:id="40"/>
      <w:bookmarkEnd w:id="4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Z przebudowywanego pomieszczenia istnieją dwa kierunki ewakuacji: do wyjścia bezpośredniego z tego segmentu na zewnątrz budynku (najbliższe ~17 m) oraz do głównej części budynku szkoły i dalej na zewnątrz.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7" w:before="0" w:line="276" w:lineRule="auto"/>
        <w:ind w:left="-5" w:right="0" w:firstLine="14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4"/>
          <w:szCs w:val="24"/>
          <w:u w:val="single"/>
          <w:shd w:fill="auto" w:val="clear"/>
          <w:vertAlign w:val="baseline"/>
          <w:rtl w:val="0"/>
        </w:rPr>
        <w:t xml:space="preserve">2.12.10. Informacje o doborze urządzeń przeciwpożarowych oraz innych instalacji i urządzeń służących bezpieczeństwu pożarowemu wraz z określeniem zakresu i celu ich stosowania</w:t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Projekt nie zakłada zmiany w zakresie urządzeń przeciwpożarowych budynku.</w:t>
      </w:r>
    </w:p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2iq8gzs" w:id="41"/>
      <w:bookmarkEnd w:id="41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Budynek wyposażony jest w wymagane urządzenia przeciwpożarowe. W odległości 11 m od przebudowywanego pomieszczenia, na korytarzu zlokalizowany jest hydrant wewnętrzny.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7" w:before="0" w:line="276" w:lineRule="auto"/>
        <w:ind w:left="-5" w:right="0" w:firstLine="14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4"/>
          <w:szCs w:val="24"/>
          <w:u w:val="single"/>
          <w:shd w:fill="auto" w:val="clear"/>
          <w:vertAlign w:val="baseline"/>
          <w:rtl w:val="0"/>
        </w:rPr>
        <w:t xml:space="preserve">2.12.11. Informacje o przygotowaniu obiektu budowlanego do prowadzenia działań ratowniczych</w:t>
      </w:r>
    </w:p>
    <w:p w:rsidR="00000000" w:rsidDel="00000000" w:rsidP="00000000" w:rsidRDefault="00000000" w:rsidRPr="00000000" w14:paraId="000001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single"/>
          <w:shd w:fill="auto" w:val="clear"/>
          <w:vertAlign w:val="baseline"/>
          <w:rtl w:val="0"/>
        </w:rPr>
        <w:t xml:space="preserve">[w tym informacje o punktach poboru wody do celów przeciwpożarowych, nasadach służących do zasilania urządzeń gaśniczych i innych rozwiązaniach przewidzianych do tych działań oraz dźwigach dla ekip ratowniczych i prowadzących do nich dojściach]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Zgodnie z Dz.U.2009.124.1030 - Rozporządzenie Ministra Spraw Wewnętrznych i Administracji z dnia 24 lipca 2009 r. w sprawie przeciwpożarowego zaopatrzenia w wodę oraz dróg pożarowych, budynek posiada drogę pożarową. Dojazd do budynku jest zapewniony zjazdem z ul. Wronieckiej i dalej drogą wewnętrzną na terenie posesji.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Zaopatrzenie wodne do celów ppoż. zapewnione jest z miejskiej sieci wodociągowej, najbliższy hydrant zewnętrzny usytuowany jest w odległości 70 m od rozpatrywanego segmentu szkoły (w kierunku północnym, na wysokości hali sportowo-widowiskowej, przy drodze dojazdowej), zaś kolejny - ok. 108 m w kierunku południowo-zachodnim.</w:t>
      </w:r>
    </w:p>
    <w:p w:rsidR="00000000" w:rsidDel="00000000" w:rsidP="00000000" w:rsidRDefault="00000000" w:rsidRPr="00000000" w14:paraId="000001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3hv69ve" w:id="42"/>
      <w:bookmarkEnd w:id="4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7" w:before="0" w:line="276" w:lineRule="auto"/>
        <w:ind w:left="-5" w:right="0" w:firstLine="14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4"/>
          <w:szCs w:val="24"/>
          <w:u w:val="single"/>
          <w:shd w:fill="auto" w:val="clear"/>
          <w:vertAlign w:val="baseline"/>
          <w:rtl w:val="0"/>
        </w:rPr>
        <w:t xml:space="preserve">2.12.12. Informacje o usytuowaniu z uwagi na bezpieczeństwo pożarowe</w:t>
      </w:r>
    </w:p>
    <w:p w:rsidR="00000000" w:rsidDel="00000000" w:rsidP="00000000" w:rsidRDefault="00000000" w:rsidRPr="00000000" w14:paraId="000001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[w tym informacje o parametrach wpływających na odległości dopuszczalne]</w:t>
      </w:r>
    </w:p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Kompleks budynków szkoły zlokalizowany jest w zachodniej części miasta, w obrębie budynków mieszkalnych jedno i wielorodzinnych. </w:t>
      </w:r>
    </w:p>
    <w:p w:rsidR="00000000" w:rsidDel="00000000" w:rsidP="00000000" w:rsidRDefault="00000000" w:rsidRPr="00000000" w14:paraId="000001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Obiekty kompleksu szkoły graniczą od strony wschodniej z obszarem nieużytkowanym (teren zielony) i dalej z budynkiem gospodarczym na sąsiedniej posesji odległość około 22m, budynkiem mieszkalnym wielorodzinnym odległość około 34 m i budynkiem usługowym odległość około 37 m. Od strony południowej znajduje się boisko szkolne i dalej obszar leśny, najbliższa odległość do konturu lasu wynosi około 15 m. Od strony zachodniej na terenie posesji szkoły znajduje się budynek gospodarczy w odległości około 9 m od kompleksu budynków szkoły i dalej niezabudowany obszar, który przeznaczony jest pod zabudowę mieszkalną jednorodzinną, odległość do granicy działki wynosi około 24 m. Od strony północnej znajduje się parking przy szkole i dalej droga publiczna (ulica Wroniecka), stanowiąca drogę dojazdową do budynków szkoły, po drugiej stronie drogi znajduje się cmentarz parafialny.</w:t>
      </w:r>
    </w:p>
    <w:p w:rsidR="00000000" w:rsidDel="00000000" w:rsidP="00000000" w:rsidRDefault="00000000" w:rsidRPr="00000000" w14:paraId="000001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Minimalna odległość pomiędzy istniejącymi budynkami zakwalifikowanymi do kategorii zagrożenia ludzi lub zagrożenia pożarowego o gęstości obciążenia ogniowego nieprzekraczającej 500 MJ/m2, powinna wynosić co najmniej 8 m.</w:t>
      </w:r>
    </w:p>
    <w:p w:rsidR="00000000" w:rsidDel="00000000" w:rsidP="00000000" w:rsidRDefault="00000000" w:rsidRPr="00000000" w14:paraId="000001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4h042r0" w:id="43"/>
      <w:bookmarkEnd w:id="4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7" w:before="0" w:line="276" w:lineRule="auto"/>
        <w:ind w:left="-5" w:right="0" w:firstLine="1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2.12.13. Informacje o rozwiązaniach zamiennych w stosunku do ochrony pożarowej</w:t>
      </w:r>
    </w:p>
    <w:p w:rsidR="00000000" w:rsidDel="00000000" w:rsidP="00000000" w:rsidRDefault="00000000" w:rsidRPr="00000000" w14:paraId="000001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[zastosowanych na podstawie zgody, o której mowa w art. 6c pkt 1 lub 2 ustawy z dnia 24 sierpnia 1991 r. o ochronie przeciwpożarowej, w zakresie rozwiązań objętych projektem architektoniczno</w:t>
      </w:r>
      <w:r w:rsidDel="00000000" w:rsidR="00000000" w:rsidRPr="00000000"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‑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budowlanym]</w:t>
      </w:r>
    </w:p>
    <w:p w:rsidR="00000000" w:rsidDel="00000000" w:rsidP="00000000" w:rsidRDefault="00000000" w:rsidRPr="00000000" w14:paraId="000001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Brak.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UWAGI 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Wszystkie wyroby i materiały stosowane do realizacji niniejszego obiektu muszą posiadać atesty i protokoły zgodności przewidziane polskim prawem budowlanym.</w:t>
      </w:r>
    </w:p>
    <w:p w:rsidR="00000000" w:rsidDel="00000000" w:rsidP="00000000" w:rsidRDefault="00000000" w:rsidRPr="00000000" w14:paraId="000001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OPRACOWANIE BRANŻY ARCHITEKTONICZNEJ ROZPATRYWAĆ ŁĄCZNIE Z OPRACOWANIEM BRANŻY KONSTRUKCYJNEJ ORAZ POZOSTAŁYCH BRANŻ PRZED ROZPOCZĘCIEM PRAC WYMIARY NALEŻY SPRAWDZIĆ NA BUDOWIE</w:t>
      </w:r>
    </w:p>
    <w:p w:rsidR="00000000" w:rsidDel="00000000" w:rsidP="00000000" w:rsidRDefault="00000000" w:rsidRPr="00000000" w14:paraId="000001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2w5ecyt" w:id="44"/>
      <w:bookmarkEnd w:id="4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5" w:before="0" w:line="276" w:lineRule="auto"/>
        <w:ind w:left="9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3. CZĘŚĆ RYSUNKOWA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A-01 </w:t>
        <w:tab/>
        <w:t xml:space="preserve">Rzut parteru </w:t>
      </w:r>
    </w:p>
    <w:p w:rsidR="00000000" w:rsidDel="00000000" w:rsidP="00000000" w:rsidRDefault="00000000" w:rsidRPr="00000000" w14:paraId="000001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76" w:lineRule="auto"/>
        <w:ind w:left="10" w:right="0" w:hanging="1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A-02</w:t>
        <w:tab/>
        <w:t xml:space="preserve">Elewacja </w:t>
      </w:r>
      <w:r w:rsidDel="00000000" w:rsidR="00000000" w:rsidRPr="00000000">
        <w:rPr>
          <w:rtl w:val="0"/>
        </w:rPr>
      </w:r>
    </w:p>
    <w:sectPr>
      <w:footerReference r:id="rId13" w:type="default"/>
      <w:pgSz w:h="16838" w:w="11906" w:orient="portrait"/>
      <w:pgMar w:bottom="993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MS Mincho"/>
  <w:font w:name="Calibri"/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10" w:right="0" w:hanging="2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  <w:rtl w:val="0"/>
      </w:rPr>
      <w:t xml:space="preserve">str. 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2400"/>
        <w:tab w:val="center" w:leader="none" w:pos="4536"/>
        <w:tab w:val="right" w:leader="none" w:pos="9072"/>
      </w:tabs>
      <w:spacing w:after="0" w:before="0" w:line="240" w:lineRule="auto"/>
      <w:ind w:left="10" w:right="0" w:hanging="2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5" w:before="0" w:line="248.00000000000006" w:lineRule="auto"/>
      <w:ind w:left="10" w:right="0" w:hanging="1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pl-P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ny,ListParagraph,2,Lista-poziom1,Wypunktowanie,ASIA,Akapitzlistą3,Akapitzlistą31,maz_wyliczenie,opisdzialania,K-P_odwolanie,A_wyliczenie,Akapitzlistą5,Normalny2,Akapitzlistą32">
    <w:name w:val="Normalny,List Paragraph,2,Lista - poziom 1,Wypunktowanie,ASIA,Akapit z listą3,Akapit z listą31,maz_wyliczenie,opis dzialania,K-P_odwolanie,A_wyliczenie,Akapit z listą5,Normalny2,Akapit z listą32"/>
    <w:next w:val="Normalny,ListParagraph,2,Lista-poziom1,Wypunktowanie,ASIA,Akapitzlistą3,Akapitzlistą31,maz_wyliczenie,opisdzialania,K-P_odwolanie,A_wyliczenie,Akapitzlistą5,Normalny2,Akapitzlistą32"/>
    <w:autoRedefine w:val="0"/>
    <w:hidden w:val="0"/>
    <w:qFormat w:val="0"/>
    <w:pPr>
      <w:suppressAutoHyphens w:val="1"/>
      <w:spacing w:after="5" w:line="248" w:lineRule="auto"/>
      <w:ind w:left="720" w:leftChars="-1" w:rightChars="0" w:hanging="10" w:firstLineChars="-1"/>
      <w:contextualSpacing w:val="1"/>
      <w:jc w:val="both"/>
      <w:textDirection w:val="btLr"/>
      <w:textAlignment w:val="top"/>
      <w:outlineLvl w:val="0"/>
    </w:pPr>
    <w:rPr>
      <w:color w:val="000000"/>
      <w:w w:val="100"/>
      <w:position w:val="-1"/>
      <w:sz w:val="22"/>
      <w:szCs w:val="22"/>
      <w:effect w:val="none"/>
      <w:vertAlign w:val="baseline"/>
      <w:cs w:val="0"/>
      <w:em w:val="none"/>
      <w:lang w:bidi="ar-SA" w:eastAsia="pl-PL" w:val="pl-PL"/>
    </w:rPr>
  </w:style>
  <w:style w:type="paragraph" w:styleId="Nagłówek1">
    <w:name w:val="Nagłówek 1"/>
    <w:basedOn w:val="Normalny,ListParagraph,2,Lista-poziom1,Wypunktowanie,ASIA,Akapitzlistą3,Akapitzlistą31,maz_wyliczenie,opisdzialania,K-P_odwolanie,A_wyliczenie,Akapitzlistą5,Normalny2,Akapitzlistą32"/>
    <w:next w:val="Normalny,ListParagraph,2,Lista-poziom1,Wypunktowanie,ASIA,Akapitzlistą3,Akapitzlistą31,maz_wyliczenie,opisdzialania,K-P_odwolanie,A_wyliczenie,Akapitzlistą5,Normalny2,Akapitzlistą32"/>
    <w:autoRedefine w:val="0"/>
    <w:hidden w:val="0"/>
    <w:qFormat w:val="0"/>
    <w:pPr>
      <w:keepNext w:val="1"/>
      <w:keepLines w:val="1"/>
      <w:suppressAutoHyphens w:val="1"/>
      <w:spacing w:after="153" w:line="248" w:lineRule="auto"/>
      <w:ind w:left="20" w:leftChars="-1" w:rightChars="0" w:hanging="10" w:firstLineChars="-1"/>
      <w:jc w:val="both"/>
      <w:textDirection w:val="btLr"/>
      <w:textAlignment w:val="top"/>
      <w:outlineLvl w:val="0"/>
    </w:pPr>
    <w:rPr>
      <w:b w:val="1"/>
      <w:color w:val="000000"/>
      <w:w w:val="100"/>
      <w:position w:val="-1"/>
      <w:sz w:val="28"/>
      <w:szCs w:val="22"/>
      <w:effect w:val="none"/>
      <w:vertAlign w:val="baseline"/>
      <w:cs w:val="0"/>
      <w:em w:val="none"/>
      <w:lang w:bidi="ar-SA" w:eastAsia="pl-PL" w:val="pl-PL"/>
    </w:rPr>
  </w:style>
  <w:style w:type="paragraph" w:styleId="Nagłówek2">
    <w:name w:val="Nagłówek 2"/>
    <w:basedOn w:val="Normalny,ListParagraph,2,Lista-poziom1,Wypunktowanie,ASIA,Akapitzlistą3,Akapitzlistą31,maz_wyliczenie,opisdzialania,K-P_odwolanie,A_wyliczenie,Akapitzlistą5,Normalny2,Akapitzlistą32"/>
    <w:next w:val="Normalny,ListParagraph,2,Lista-poziom1,Wypunktowanie,ASIA,Akapitzlistą3,Akapitzlistą31,maz_wyliczenie,opisdzialania,K-P_odwolanie,A_wyliczenie,Akapitzlistą5,Normalny2,Akapitzlistą32"/>
    <w:autoRedefine w:val="0"/>
    <w:hidden w:val="0"/>
    <w:qFormat w:val="0"/>
    <w:pPr>
      <w:keepNext w:val="1"/>
      <w:keepLines w:val="1"/>
      <w:suppressAutoHyphens w:val="1"/>
      <w:spacing w:after="83" w:line="252" w:lineRule="auto"/>
      <w:ind w:left="10" w:leftChars="-1" w:rightChars="0" w:hanging="10" w:firstLineChars="-1"/>
      <w:jc w:val="both"/>
      <w:textDirection w:val="btLr"/>
      <w:textAlignment w:val="top"/>
      <w:outlineLvl w:val="1"/>
    </w:pPr>
    <w:rPr>
      <w:color w:val="000000"/>
      <w:w w:val="100"/>
      <w:position w:val="-1"/>
      <w:sz w:val="24"/>
      <w:szCs w:val="22"/>
      <w:u w:color="000000" w:val="single"/>
      <w:effect w:val="none"/>
      <w:vertAlign w:val="baseline"/>
      <w:cs w:val="0"/>
      <w:em w:val="none"/>
      <w:lang w:bidi="ar-SA" w:eastAsia="pl-PL" w:val="pl-PL"/>
    </w:rPr>
  </w:style>
  <w:style w:type="paragraph" w:styleId="Nagłówek3">
    <w:name w:val="Nagłówek 3"/>
    <w:basedOn w:val="Normalny,ListParagraph,2,Lista-poziom1,Wypunktowanie,ASIA,Akapitzlistą3,Akapitzlistą31,maz_wyliczenie,opisdzialania,K-P_odwolanie,A_wyliczenie,Akapitzlistą5,Normalny2,Akapitzlistą32"/>
    <w:next w:val="Normalny,ListParagraph,2,Lista-poziom1,Wypunktowanie,ASIA,Akapitzlistą3,Akapitzlistą31,maz_wyliczenie,opisdzialania,K-P_odwolanie,A_wyliczenie,Akapitzlistą5,Normalny2,Akapitzlistą32"/>
    <w:autoRedefine w:val="0"/>
    <w:hidden w:val="0"/>
    <w:qFormat w:val="0"/>
    <w:pPr>
      <w:keepNext w:val="1"/>
      <w:keepLines w:val="1"/>
      <w:suppressAutoHyphens w:val="1"/>
      <w:spacing w:after="80" w:before="280" w:line="248" w:lineRule="auto"/>
      <w:ind w:left="10" w:leftChars="-1" w:rightChars="0" w:hanging="10" w:firstLineChars="-1"/>
      <w:jc w:val="both"/>
      <w:textDirection w:val="btLr"/>
      <w:textAlignment w:val="top"/>
      <w:outlineLvl w:val="2"/>
    </w:pPr>
    <w:rPr>
      <w:b w:val="1"/>
      <w:color w:val="000000"/>
      <w:w w:val="100"/>
      <w:position w:val="-1"/>
      <w:sz w:val="28"/>
      <w:szCs w:val="28"/>
      <w:effect w:val="none"/>
      <w:vertAlign w:val="baseline"/>
      <w:cs w:val="0"/>
      <w:em w:val="none"/>
      <w:lang w:bidi="ar-SA" w:eastAsia="pl-PL" w:val="pl-PL"/>
    </w:rPr>
  </w:style>
  <w:style w:type="paragraph" w:styleId="Nagłówek4">
    <w:name w:val="Nagłówek 4"/>
    <w:basedOn w:val="Normalny,ListParagraph,2,Lista-poziom1,Wypunktowanie,ASIA,Akapitzlistą3,Akapitzlistą31,maz_wyliczenie,opisdzialania,K-P_odwolanie,A_wyliczenie,Akapitzlistą5,Normalny2,Akapitzlistą32"/>
    <w:next w:val="Normalny,ListParagraph,2,Lista-poziom1,Wypunktowanie,ASIA,Akapitzlistą3,Akapitzlistą31,maz_wyliczenie,opisdzialania,K-P_odwolanie,A_wyliczenie,Akapitzlistą5,Normalny2,Akapitzlistą32"/>
    <w:autoRedefine w:val="0"/>
    <w:hidden w:val="0"/>
    <w:qFormat w:val="0"/>
    <w:pPr>
      <w:keepNext w:val="1"/>
      <w:keepLines w:val="1"/>
      <w:suppressAutoHyphens w:val="1"/>
      <w:spacing w:after="40" w:before="240" w:line="248" w:lineRule="auto"/>
      <w:ind w:left="10" w:leftChars="-1" w:rightChars="0" w:hanging="10" w:firstLineChars="-1"/>
      <w:jc w:val="both"/>
      <w:textDirection w:val="btLr"/>
      <w:textAlignment w:val="top"/>
      <w:outlineLvl w:val="3"/>
    </w:pPr>
    <w:rPr>
      <w:b w:val="1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pl-PL" w:val="pl-PL"/>
    </w:rPr>
  </w:style>
  <w:style w:type="paragraph" w:styleId="Nagłówek5">
    <w:name w:val="Nagłówek 5"/>
    <w:basedOn w:val="Normalny,ListParagraph,2,Lista-poziom1,Wypunktowanie,ASIA,Akapitzlistą3,Akapitzlistą31,maz_wyliczenie,opisdzialania,K-P_odwolanie,A_wyliczenie,Akapitzlistą5,Normalny2,Akapitzlistą32"/>
    <w:next w:val="Normalny,ListParagraph,2,Lista-poziom1,Wypunktowanie,ASIA,Akapitzlistą3,Akapitzlistą31,maz_wyliczenie,opisdzialania,K-P_odwolanie,A_wyliczenie,Akapitzlistą5,Normalny2,Akapitzlistą32"/>
    <w:autoRedefine w:val="0"/>
    <w:hidden w:val="0"/>
    <w:qFormat w:val="0"/>
    <w:pPr>
      <w:keepNext w:val="1"/>
      <w:keepLines w:val="1"/>
      <w:suppressAutoHyphens w:val="1"/>
      <w:spacing w:after="40" w:before="220" w:line="248" w:lineRule="auto"/>
      <w:ind w:left="10" w:leftChars="-1" w:rightChars="0" w:hanging="10" w:firstLineChars="-1"/>
      <w:jc w:val="both"/>
      <w:textDirection w:val="btLr"/>
      <w:textAlignment w:val="top"/>
      <w:outlineLvl w:val="4"/>
    </w:pPr>
    <w:rPr>
      <w:b w:val="1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bidi="ar-SA" w:eastAsia="pl-PL" w:val="pl-PL"/>
    </w:rPr>
  </w:style>
  <w:style w:type="paragraph" w:styleId="Nagłówek6">
    <w:name w:val="Nagłówek 6"/>
    <w:basedOn w:val="Normalny,ListParagraph,2,Lista-poziom1,Wypunktowanie,ASIA,Akapitzlistą3,Akapitzlistą31,maz_wyliczenie,opisdzialania,K-P_odwolanie,A_wyliczenie,Akapitzlistą5,Normalny2,Akapitzlistą32"/>
    <w:next w:val="Normalny,ListParagraph,2,Lista-poziom1,Wypunktowanie,ASIA,Akapitzlistą3,Akapitzlistą31,maz_wyliczenie,opisdzialania,K-P_odwolanie,A_wyliczenie,Akapitzlistą5,Normalny2,Akapitzlistą32"/>
    <w:autoRedefine w:val="0"/>
    <w:hidden w:val="0"/>
    <w:qFormat w:val="0"/>
    <w:pPr>
      <w:keepNext w:val="1"/>
      <w:keepLines w:val="1"/>
      <w:suppressAutoHyphens w:val="1"/>
      <w:spacing w:after="40" w:before="200" w:line="248" w:lineRule="auto"/>
      <w:ind w:left="10" w:leftChars="-1" w:rightChars="0" w:hanging="10" w:firstLineChars="-1"/>
      <w:jc w:val="both"/>
      <w:textDirection w:val="btLr"/>
      <w:textAlignment w:val="top"/>
      <w:outlineLvl w:val="5"/>
    </w:pPr>
    <w:rPr>
      <w:b w:val="1"/>
      <w:color w:val="000000"/>
      <w:w w:val="100"/>
      <w:position w:val="-1"/>
      <w:sz w:val="20"/>
      <w:szCs w:val="20"/>
      <w:effect w:val="none"/>
      <w:vertAlign w:val="baseline"/>
      <w:cs w:val="0"/>
      <w:em w:val="none"/>
      <w:lang w:bidi="ar-SA" w:eastAsia="pl-PL" w:val="pl-PL"/>
    </w:rPr>
  </w:style>
  <w:style w:type="paragraph" w:styleId="Nagłówek7">
    <w:name w:val="Nagłówek 7"/>
    <w:basedOn w:val="Normalny,ListParagraph,2,Lista-poziom1,Wypunktowanie,ASIA,Akapitzlistą3,Akapitzlistą31,maz_wyliczenie,opisdzialania,K-P_odwolanie,A_wyliczenie,Akapitzlistą5,Normalny2,Akapitzlistą32"/>
    <w:next w:val="Tekstpodstawowy"/>
    <w:autoRedefine w:val="0"/>
    <w:hidden w:val="0"/>
    <w:qFormat w:val="0"/>
    <w:pPr>
      <w:keepNext w:val="1"/>
      <w:widowControl w:val="0"/>
      <w:numPr>
        <w:ilvl w:val="6"/>
        <w:numId w:val="2"/>
      </w:numPr>
      <w:tabs>
        <w:tab w:val="clear" w:pos="360"/>
        <w:tab w:val="num" w:leader="none" w:pos="5040"/>
      </w:tabs>
      <w:suppressAutoHyphens w:val="0"/>
      <w:spacing w:after="120" w:before="240" w:line="240" w:lineRule="auto"/>
      <w:ind w:left="5040" w:leftChars="-1" w:rightChars="0" w:hanging="720" w:firstLineChars="-1"/>
      <w:jc w:val="both"/>
      <w:textDirection w:val="btLr"/>
      <w:textAlignment w:val="top"/>
      <w:outlineLvl w:val="6"/>
    </w:pPr>
    <w:rPr>
      <w:b w:val="1"/>
      <w:bCs w:val="1"/>
      <w:color w:val="auto"/>
      <w:w w:val="100"/>
      <w:kern w:val="1"/>
      <w:position w:val="-1"/>
      <w:sz w:val="21"/>
      <w:szCs w:val="21"/>
      <w:effect w:val="none"/>
      <w:vertAlign w:val="baseline"/>
      <w:cs w:val="0"/>
      <w:em w:val="none"/>
      <w:lang w:bidi="ar-SA" w:eastAsia="ar-SA" w:val="pl-PL"/>
    </w:rPr>
  </w:style>
  <w:style w:type="paragraph" w:styleId="Nagłówek8">
    <w:name w:val="Nagłówek 8"/>
    <w:basedOn w:val="Normalny,ListParagraph,2,Lista-poziom1,Wypunktowanie,ASIA,Akapitzlistą3,Akapitzlistą31,maz_wyliczenie,opisdzialania,K-P_odwolanie,A_wyliczenie,Akapitzlistą5,Normalny2,Akapitzlistą32"/>
    <w:next w:val="Tekstpodstawowy"/>
    <w:autoRedefine w:val="0"/>
    <w:hidden w:val="0"/>
    <w:qFormat w:val="0"/>
    <w:pPr>
      <w:keepNext w:val="1"/>
      <w:widowControl w:val="0"/>
      <w:numPr>
        <w:ilvl w:val="7"/>
        <w:numId w:val="2"/>
      </w:numPr>
      <w:tabs>
        <w:tab w:val="clear" w:pos="360"/>
        <w:tab w:val="num" w:leader="none" w:pos="5760"/>
      </w:tabs>
      <w:suppressAutoHyphens w:val="0"/>
      <w:spacing w:after="120" w:before="240" w:line="240" w:lineRule="auto"/>
      <w:ind w:left="5760" w:leftChars="-1" w:rightChars="0" w:hanging="720" w:firstLineChars="-1"/>
      <w:jc w:val="both"/>
      <w:textDirection w:val="btLr"/>
      <w:textAlignment w:val="top"/>
      <w:outlineLvl w:val="7"/>
    </w:pPr>
    <w:rPr>
      <w:b w:val="1"/>
      <w:bCs w:val="1"/>
      <w:color w:val="auto"/>
      <w:w w:val="100"/>
      <w:kern w:val="1"/>
      <w:position w:val="-1"/>
      <w:sz w:val="21"/>
      <w:szCs w:val="21"/>
      <w:effect w:val="none"/>
      <w:vertAlign w:val="baseline"/>
      <w:cs w:val="0"/>
      <w:em w:val="none"/>
      <w:lang w:bidi="ar-SA" w:eastAsia="ar-SA" w:val="pl-PL"/>
    </w:rPr>
  </w:style>
  <w:style w:type="paragraph" w:styleId="Nagłówek9">
    <w:name w:val="Nagłówek 9"/>
    <w:basedOn w:val="Normalny,ListParagraph,2,Lista-poziom1,Wypunktowanie,ASIA,Akapitzlistą3,Akapitzlistą31,maz_wyliczenie,opisdzialania,K-P_odwolanie,A_wyliczenie,Akapitzlistą5,Normalny2,Akapitzlistą32"/>
    <w:next w:val="Tekstpodstawowy"/>
    <w:autoRedefine w:val="0"/>
    <w:hidden w:val="0"/>
    <w:qFormat w:val="0"/>
    <w:pPr>
      <w:keepNext w:val="1"/>
      <w:widowControl w:val="0"/>
      <w:numPr>
        <w:ilvl w:val="8"/>
        <w:numId w:val="2"/>
      </w:numPr>
      <w:tabs>
        <w:tab w:val="clear" w:pos="360"/>
        <w:tab w:val="num" w:leader="none" w:pos="6480"/>
      </w:tabs>
      <w:suppressAutoHyphens w:val="0"/>
      <w:spacing w:after="120" w:before="240" w:line="240" w:lineRule="auto"/>
      <w:ind w:left="6480" w:leftChars="-1" w:rightChars="0" w:hanging="720" w:firstLineChars="-1"/>
      <w:jc w:val="both"/>
      <w:textDirection w:val="btLr"/>
      <w:textAlignment w:val="top"/>
      <w:outlineLvl w:val="8"/>
    </w:pPr>
    <w:rPr>
      <w:b w:val="1"/>
      <w:bCs w:val="1"/>
      <w:color w:val="auto"/>
      <w:w w:val="100"/>
      <w:kern w:val="1"/>
      <w:position w:val="-1"/>
      <w:sz w:val="21"/>
      <w:szCs w:val="21"/>
      <w:effect w:val="none"/>
      <w:vertAlign w:val="baseline"/>
      <w:cs w:val="0"/>
      <w:em w:val="none"/>
      <w:lang w:bidi="ar-SA" w:eastAsia="ar-SA" w:val="pl-PL"/>
    </w:rPr>
  </w:style>
  <w:style w:type="character" w:styleId="Domyślnaczcionkaakapitu">
    <w:name w:val="Domyślna czcionka akapitu"/>
    <w:next w:val="Domyślnaczcionkaakapitu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Standardowy">
    <w:name w:val="Standardowy"/>
    <w:next w:val="Standardowy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>
    <w:name w:val="Bez listy"/>
    <w:next w:val="Bezlisty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after="5" w:line="248" w:lineRule="auto"/>
      <w:ind w:left="10" w:leftChars="-1" w:rightChars="0" w:hanging="20" w:firstLineChars="-1"/>
      <w:jc w:val="both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pl-PL" w:val="pl-PL"/>
    </w:rPr>
  </w:style>
  <w:style w:type="paragraph" w:styleId="Tytuł">
    <w:name w:val="Tytuł"/>
    <w:basedOn w:val="Normalny,ListParagraph,2,Lista-poziom1,Wypunktowanie,ASIA,Akapitzlistą3,Akapitzlistą31,maz_wyliczenie,opisdzialania,K-P_odwolanie,A_wyliczenie,Akapitzlistą5,Normalny2,Akapitzlistą32"/>
    <w:next w:val="Normalny,ListParagraph,2,Lista-poziom1,Wypunktowanie,ASIA,Akapitzlistą3,Akapitzlistą31,maz_wyliczenie,opisdzialania,K-P_odwolanie,A_wyliczenie,Akapitzlistą5,Normalny2,Akapitzlistą32"/>
    <w:autoRedefine w:val="0"/>
    <w:hidden w:val="0"/>
    <w:qFormat w:val="0"/>
    <w:pPr>
      <w:keepNext w:val="1"/>
      <w:keepLines w:val="1"/>
      <w:suppressAutoHyphens w:val="1"/>
      <w:spacing w:after="120" w:before="480" w:line="248" w:lineRule="auto"/>
      <w:ind w:left="10" w:leftChars="-1" w:rightChars="0" w:hanging="10" w:firstLineChars="-1"/>
      <w:jc w:val="both"/>
      <w:textDirection w:val="btLr"/>
      <w:textAlignment w:val="top"/>
      <w:outlineLvl w:val="0"/>
    </w:pPr>
    <w:rPr>
      <w:b w:val="1"/>
      <w:color w:val="000000"/>
      <w:w w:val="100"/>
      <w:position w:val="-1"/>
      <w:sz w:val="72"/>
      <w:szCs w:val="72"/>
      <w:effect w:val="none"/>
      <w:vertAlign w:val="baseline"/>
      <w:cs w:val="0"/>
      <w:em w:val="none"/>
      <w:lang w:bidi="ar-SA" w:eastAsia="pl-PL" w:val="pl-PL"/>
    </w:rPr>
  </w:style>
  <w:style w:type="table" w:styleId="TableNormal1">
    <w:name w:val="Table Normal1"/>
    <w:next w:val="TableNormal1"/>
    <w:autoRedefine w:val="0"/>
    <w:hidden w:val="0"/>
    <w:qFormat w:val="0"/>
    <w:pPr>
      <w:suppressAutoHyphens w:val="1"/>
      <w:spacing w:after="5" w:line="248" w:lineRule="auto"/>
      <w:ind w:left="10" w:leftChars="-1" w:rightChars="0" w:hanging="20" w:firstLineChars="-1"/>
      <w:jc w:val="both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pl-PL" w:val="pl-PL"/>
    </w:rPr>
    <w:tblPr>
      <w:tblStyle w:val="TableNormal1"/>
      <w:jc w:val="left"/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Heading1Char">
    <w:name w:val="Heading 1 Char"/>
    <w:basedOn w:val="Domyślnaczcionkaakapitu"/>
    <w:next w:val="Heading1Char"/>
    <w:autoRedefine w:val="0"/>
    <w:hidden w:val="0"/>
    <w:qFormat w:val="0"/>
    <w:rPr>
      <w:b w:val="1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bidi="ar-SA" w:eastAsia="pl-PL" w:val="pl-PL"/>
    </w:rPr>
  </w:style>
  <w:style w:type="character" w:styleId="Heading2Char">
    <w:name w:val="Heading 2 Char"/>
    <w:basedOn w:val="Domyślnaczcionkaakapitu"/>
    <w:next w:val="Heading2Char"/>
    <w:autoRedefine w:val="0"/>
    <w:hidden w:val="0"/>
    <w:qFormat w:val="0"/>
    <w:rPr>
      <w:color w:val="000000"/>
      <w:w w:val="100"/>
      <w:position w:val="-1"/>
      <w:sz w:val="22"/>
      <w:szCs w:val="22"/>
      <w:u w:color="000000" w:val="single"/>
      <w:effect w:val="none"/>
      <w:vertAlign w:val="baseline"/>
      <w:cs w:val="0"/>
      <w:em w:val="none"/>
      <w:lang w:bidi="ar-SA" w:eastAsia="pl-PL" w:val="pl-PL"/>
    </w:rPr>
  </w:style>
  <w:style w:type="paragraph" w:styleId="Spistreści1">
    <w:name w:val="Spis treści 1"/>
    <w:basedOn w:val="Normalny,ListParagraph,2,Lista-poziom1,Wypunktowanie,ASIA,Akapitzlistą3,Akapitzlistą31,maz_wyliczenie,opisdzialania,K-P_odwolanie,A_wyliczenie,Akapitzlistą5,Normalny2,Akapitzlistą32"/>
    <w:next w:val="Spistreści1"/>
    <w:autoRedefine w:val="0"/>
    <w:hidden w:val="0"/>
    <w:qFormat w:val="0"/>
    <w:pPr>
      <w:suppressAutoHyphens w:val="1"/>
      <w:spacing w:after="151" w:line="251" w:lineRule="auto"/>
      <w:ind w:left="25" w:right="363" w:leftChars="-1" w:rightChars="0" w:hanging="10" w:firstLineChars="-1"/>
      <w:jc w:val="both"/>
      <w:textDirection w:val="btLr"/>
      <w:textAlignment w:val="top"/>
      <w:outlineLvl w:val="0"/>
    </w:pPr>
    <w:rPr>
      <w:rFonts w:ascii="Calibri" w:cs="Calibri" w:eastAsia="Times New Roman" w:hAnsi="Calibri"/>
      <w:b w:val="1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bidi="ar-SA" w:eastAsia="pl-PL" w:val="pl-PL"/>
    </w:rPr>
  </w:style>
  <w:style w:type="paragraph" w:styleId="Spistreści2">
    <w:name w:val="Spis treści 2"/>
    <w:basedOn w:val="Normalny,ListParagraph,2,Lista-poziom1,Wypunktowanie,ASIA,Akapitzlistą3,Akapitzlistą31,maz_wyliczenie,opisdzialania,K-P_odwolanie,A_wyliczenie,Akapitzlistą5,Normalny2,Akapitzlistą32"/>
    <w:next w:val="Spistreści2"/>
    <w:autoRedefine w:val="0"/>
    <w:hidden w:val="0"/>
    <w:qFormat w:val="0"/>
    <w:pPr>
      <w:suppressAutoHyphens w:val="1"/>
      <w:spacing w:after="8" w:line="255" w:lineRule="auto"/>
      <w:ind w:left="25" w:right="381" w:leftChars="-1" w:rightChars="0" w:hanging="10" w:firstLineChars="-1"/>
      <w:jc w:val="both"/>
      <w:textDirection w:val="btLr"/>
      <w:textAlignment w:val="top"/>
      <w:outlineLvl w:val="0"/>
    </w:pPr>
    <w:rPr>
      <w:rFonts w:ascii="Calibri" w:cs="Calibri" w:eastAsia="Times New Roman" w:hAnsi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bidi="ar-SA" w:eastAsia="pl-PL" w:val="pl-PL"/>
    </w:rPr>
  </w:style>
  <w:style w:type="paragraph" w:styleId="Nagłówek">
    <w:name w:val="Nagłówek"/>
    <w:basedOn w:val="Normalny,ListParagraph,2,Lista-poziom1,Wypunktowanie,ASIA,Akapitzlistą3,Akapitzlistą31,maz_wyliczenie,opisdzialania,K-P_odwolanie,A_wyliczenie,Akapitzlistą5,Normalny2,Akapitzlistą32"/>
    <w:next w:val="Nagłówek"/>
    <w:autoRedefine w:val="0"/>
    <w:hidden w:val="0"/>
    <w:qFormat w:val="0"/>
    <w:pPr>
      <w:tabs>
        <w:tab w:val="center" w:leader="none" w:pos="4536"/>
        <w:tab w:val="right" w:leader="none" w:pos="9072"/>
      </w:tabs>
      <w:suppressAutoHyphens w:val="1"/>
      <w:spacing w:after="0" w:line="240" w:lineRule="auto"/>
      <w:ind w:left="10" w:leftChars="-1" w:rightChars="0" w:hanging="10" w:firstLineChars="-1"/>
      <w:jc w:val="both"/>
      <w:textDirection w:val="btLr"/>
      <w:textAlignment w:val="top"/>
      <w:outlineLvl w:val="0"/>
    </w:pPr>
    <w:rPr>
      <w:color w:val="000000"/>
      <w:w w:val="100"/>
      <w:position w:val="-1"/>
      <w:sz w:val="22"/>
      <w:szCs w:val="22"/>
      <w:effect w:val="none"/>
      <w:vertAlign w:val="baseline"/>
      <w:cs w:val="0"/>
      <w:em w:val="none"/>
      <w:lang w:bidi="ar-SA" w:eastAsia="pl-PL" w:val="pl-PL"/>
    </w:rPr>
  </w:style>
  <w:style w:type="character" w:styleId="HeaderChar">
    <w:name w:val="Header Char"/>
    <w:basedOn w:val="Domyślnaczcionkaakapitu"/>
    <w:next w:val="HeaderChar"/>
    <w:autoRedefine w:val="0"/>
    <w:hidden w:val="0"/>
    <w:qFormat w:val="0"/>
    <w:rPr>
      <w:rFonts w:ascii="Century Gothic" w:cs="Century Gothic" w:eastAsia="Times New Roman" w:hAnsi="Century Gothic"/>
      <w:color w:val="000000"/>
      <w:w w:val="100"/>
      <w:position w:val="-1"/>
      <w:effect w:val="none"/>
      <w:vertAlign w:val="baseline"/>
      <w:cs w:val="0"/>
      <w:em w:val="none"/>
      <w:lang w:eastAsia="pl-PL" w:val="und"/>
    </w:rPr>
  </w:style>
  <w:style w:type="paragraph" w:styleId="Stopka">
    <w:name w:val="Stopka"/>
    <w:basedOn w:val="Normalny,ListParagraph,2,Lista-poziom1,Wypunktowanie,ASIA,Akapitzlistą3,Akapitzlistą31,maz_wyliczenie,opisdzialania,K-P_odwolanie,A_wyliczenie,Akapitzlistą5,Normalny2,Akapitzlistą32"/>
    <w:next w:val="Stopka"/>
    <w:autoRedefine w:val="0"/>
    <w:hidden w:val="0"/>
    <w:qFormat w:val="0"/>
    <w:pPr>
      <w:tabs>
        <w:tab w:val="center" w:leader="none" w:pos="4536"/>
        <w:tab w:val="right" w:leader="none" w:pos="9072"/>
      </w:tabs>
      <w:suppressAutoHyphens w:val="1"/>
      <w:spacing w:after="0" w:line="240" w:lineRule="auto"/>
      <w:ind w:left="10" w:leftChars="-1" w:rightChars="0" w:hanging="10" w:firstLineChars="-1"/>
      <w:jc w:val="both"/>
      <w:textDirection w:val="btLr"/>
      <w:textAlignment w:val="top"/>
      <w:outlineLvl w:val="0"/>
    </w:pPr>
    <w:rPr>
      <w:color w:val="000000"/>
      <w:w w:val="100"/>
      <w:position w:val="-1"/>
      <w:sz w:val="22"/>
      <w:szCs w:val="22"/>
      <w:effect w:val="none"/>
      <w:vertAlign w:val="baseline"/>
      <w:cs w:val="0"/>
      <w:em w:val="none"/>
      <w:lang w:bidi="ar-SA" w:eastAsia="pl-PL" w:val="pl-PL"/>
    </w:rPr>
  </w:style>
  <w:style w:type="character" w:styleId="FooterChar">
    <w:name w:val="Footer Char"/>
    <w:basedOn w:val="Domyślnaczcionkaakapitu"/>
    <w:next w:val="FooterChar"/>
    <w:autoRedefine w:val="0"/>
    <w:hidden w:val="0"/>
    <w:qFormat w:val="0"/>
    <w:rPr>
      <w:rFonts w:ascii="Century Gothic" w:cs="Century Gothic" w:eastAsia="Times New Roman" w:hAnsi="Century Gothic"/>
      <w:color w:val="000000"/>
      <w:w w:val="100"/>
      <w:position w:val="-1"/>
      <w:effect w:val="none"/>
      <w:vertAlign w:val="baseline"/>
      <w:cs w:val="0"/>
      <w:em w:val="none"/>
      <w:lang w:eastAsia="pl-PL" w:val="und"/>
    </w:rPr>
  </w:style>
  <w:style w:type="character" w:styleId="Hiperłącze">
    <w:name w:val="Hiperłącze"/>
    <w:basedOn w:val="Domyślnaczcionkaakapitu"/>
    <w:next w:val="Hiperłącze"/>
    <w:autoRedefine w:val="0"/>
    <w:hidden w:val="0"/>
    <w:qFormat w:val="0"/>
    <w:rPr>
      <w:color w:val="0563c1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Podtytuł">
    <w:name w:val="Podtytuł"/>
    <w:basedOn w:val="normal"/>
    <w:next w:val="normal"/>
    <w:autoRedefine w:val="0"/>
    <w:hidden w:val="0"/>
    <w:qFormat w:val="0"/>
    <w:pPr>
      <w:keepNext w:val="1"/>
      <w:keepLines w:val="1"/>
      <w:suppressAutoHyphens w:val="1"/>
      <w:spacing w:after="80" w:before="360" w:line="248" w:lineRule="auto"/>
      <w:ind w:left="10" w:leftChars="-1" w:rightChars="0" w:hanging="20" w:firstLineChars="-1"/>
      <w:jc w:val="both"/>
      <w:textDirection w:val="btLr"/>
      <w:textAlignment w:val="top"/>
      <w:outlineLvl w:val="0"/>
    </w:pPr>
    <w:rPr>
      <w:rFonts w:ascii="Georgia" w:cs="Georgia" w:eastAsia="Times New Roman" w:hAnsi="Georgia"/>
      <w:i w:val="1"/>
      <w:color w:val="666666"/>
      <w:w w:val="100"/>
      <w:position w:val="-1"/>
      <w:sz w:val="48"/>
      <w:szCs w:val="48"/>
      <w:effect w:val="none"/>
      <w:vertAlign w:val="baseline"/>
      <w:cs w:val="0"/>
      <w:em w:val="none"/>
      <w:lang w:bidi="ar-SA" w:eastAsia="pl-PL" w:val="pl-PL"/>
    </w:rPr>
  </w:style>
  <w:style w:type="table" w:styleId="Tabela-Siatka">
    <w:name w:val="Tabela - Siatka"/>
    <w:basedOn w:val="Standardowy"/>
    <w:next w:val="Tabela-Siatka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pl-PL" w:val="pl-PL"/>
    </w:rPr>
    <w:tblPr>
      <w:tblStyle w:val="Tabela-Siatka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eading7Char">
    <w:name w:val="Heading 7 Char"/>
    <w:basedOn w:val="Domyślnaczcionkaakapitu"/>
    <w:next w:val="Heading7Char"/>
    <w:autoRedefine w:val="0"/>
    <w:hidden w:val="0"/>
    <w:qFormat w:val="0"/>
    <w:rPr>
      <w:b w:val="1"/>
      <w:bCs w:val="1"/>
      <w:w w:val="100"/>
      <w:kern w:val="1"/>
      <w:position w:val="-1"/>
      <w:sz w:val="21"/>
      <w:szCs w:val="21"/>
      <w:effect w:val="none"/>
      <w:vertAlign w:val="baseline"/>
      <w:cs w:val="0"/>
      <w:em w:val="none"/>
      <w:lang w:bidi="ar-SA" w:eastAsia="ar-SA" w:val="und"/>
    </w:rPr>
  </w:style>
  <w:style w:type="character" w:styleId="Heading8Char">
    <w:name w:val="Heading 8 Char"/>
    <w:basedOn w:val="Domyślnaczcionkaakapitu"/>
    <w:next w:val="Heading8Char"/>
    <w:autoRedefine w:val="0"/>
    <w:hidden w:val="0"/>
    <w:qFormat w:val="0"/>
    <w:rPr>
      <w:b w:val="1"/>
      <w:bCs w:val="1"/>
      <w:w w:val="100"/>
      <w:kern w:val="1"/>
      <w:position w:val="-1"/>
      <w:sz w:val="21"/>
      <w:szCs w:val="21"/>
      <w:effect w:val="none"/>
      <w:vertAlign w:val="baseline"/>
      <w:cs w:val="0"/>
      <w:em w:val="none"/>
      <w:lang w:bidi="ar-SA" w:eastAsia="ar-SA" w:val="und"/>
    </w:rPr>
  </w:style>
  <w:style w:type="character" w:styleId="Heading9Char">
    <w:name w:val="Heading 9 Char"/>
    <w:basedOn w:val="Domyślnaczcionkaakapitu"/>
    <w:next w:val="Heading9Char"/>
    <w:autoRedefine w:val="0"/>
    <w:hidden w:val="0"/>
    <w:qFormat w:val="0"/>
    <w:rPr>
      <w:b w:val="1"/>
      <w:bCs w:val="1"/>
      <w:w w:val="100"/>
      <w:kern w:val="1"/>
      <w:position w:val="-1"/>
      <w:sz w:val="21"/>
      <w:szCs w:val="21"/>
      <w:effect w:val="none"/>
      <w:vertAlign w:val="baseline"/>
      <w:cs w:val="0"/>
      <w:em w:val="none"/>
      <w:lang w:bidi="ar-SA" w:eastAsia="ar-SA" w:val="und"/>
    </w:rPr>
  </w:style>
  <w:style w:type="paragraph" w:styleId="Listapunktowana21">
    <w:name w:val="Lista punktowana 21"/>
    <w:basedOn w:val="Normalny,ListParagraph,2,Lista-poziom1,Wypunktowanie,ASIA,Akapitzlistą3,Akapitzlistą31,maz_wyliczenie,opisdzialania,K-P_odwolanie,A_wyliczenie,Akapitzlistą5,Normalny2,Akapitzlistą32"/>
    <w:next w:val="Listapunktowana21"/>
    <w:autoRedefine w:val="0"/>
    <w:hidden w:val="0"/>
    <w:qFormat w:val="0"/>
    <w:pPr>
      <w:widowControl w:val="0"/>
      <w:numPr>
        <w:ilvl w:val="0"/>
        <w:numId w:val="3"/>
      </w:numPr>
      <w:tabs>
        <w:tab w:val="left" w:leader="none" w:pos="360"/>
        <w:tab w:val="num" w:leader="none" w:pos="720"/>
      </w:tabs>
      <w:suppressAutoHyphens w:val="0"/>
      <w:autoSpaceDE w:val="0"/>
      <w:spacing w:after="60" w:line="240" w:lineRule="auto"/>
      <w:ind w:left="340" w:leftChars="-1" w:rightChars="0" w:hanging="340" w:firstLineChars="-1"/>
      <w:jc w:val="both"/>
      <w:textDirection w:val="btLr"/>
      <w:textAlignment w:val="top"/>
      <w:outlineLvl w:val="0"/>
    </w:pPr>
    <w:rPr>
      <w:color w:val="auto"/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Tekstpodstawowy">
    <w:name w:val="Tekst podstawowy"/>
    <w:basedOn w:val="Normalny,ListParagraph,2,Lista-poziom1,Wypunktowanie,ASIA,Akapitzlistą3,Akapitzlistą31,maz_wyliczenie,opisdzialania,K-P_odwolanie,A_wyliczenie,Akapitzlistą5,Normalny2,Akapitzlistą32"/>
    <w:next w:val="Tekstpodstawowy"/>
    <w:autoRedefine w:val="0"/>
    <w:hidden w:val="0"/>
    <w:qFormat w:val="0"/>
    <w:pPr>
      <w:suppressAutoHyphens w:val="1"/>
      <w:spacing w:after="120" w:line="248" w:lineRule="auto"/>
      <w:ind w:left="10" w:leftChars="-1" w:rightChars="0" w:hanging="10" w:firstLineChars="-1"/>
      <w:jc w:val="both"/>
      <w:textDirection w:val="btLr"/>
      <w:textAlignment w:val="top"/>
      <w:outlineLvl w:val="0"/>
    </w:pPr>
    <w:rPr>
      <w:color w:val="000000"/>
      <w:w w:val="100"/>
      <w:position w:val="-1"/>
      <w:sz w:val="22"/>
      <w:szCs w:val="22"/>
      <w:effect w:val="none"/>
      <w:vertAlign w:val="baseline"/>
      <w:cs w:val="0"/>
      <w:em w:val="none"/>
      <w:lang w:bidi="ar-SA" w:eastAsia="pl-PL" w:val="pl-PL"/>
    </w:rPr>
  </w:style>
  <w:style w:type="character" w:styleId="BodyTextChar">
    <w:name w:val="Body Text Char"/>
    <w:basedOn w:val="Domyślnaczcionkaakapitu"/>
    <w:next w:val="BodyTextChar"/>
    <w:autoRedefine w:val="0"/>
    <w:hidden w:val="0"/>
    <w:qFormat w:val="0"/>
    <w:rPr>
      <w:color w:val="000000"/>
      <w:w w:val="100"/>
      <w:position w:val="-1"/>
      <w:effect w:val="none"/>
      <w:vertAlign w:val="baseline"/>
      <w:cs w:val="0"/>
      <w:em w:val="none"/>
      <w:lang/>
    </w:rPr>
  </w:style>
  <w:style w:type="character" w:styleId="ListParagraphChar,2Char,Lista-poziom1Char,WypunktowanieChar,ASIAChar,NormalChar,Akapitzlistą3Char,Akapitzlistą31Char,maz_wyliczenieChar,opisdzialaniaChar,K-P_odwolanieChar,A_wyliczenieChar,Akapitzlistą5Char,Normalny2Char">
    <w:name w:val="List Paragraph Char,2 Char,Lista - poziom 1 Char,Wypunktowanie Char,ASIA Char,Normal Char,Akapit z listą3 Char,Akapit z listą31 Char,maz_wyliczenie Char,opis dzialania Char,K-P_odwolanie Char,A_wyliczenie Char,Akapit z listą5 Char,Normalny2 Char"/>
    <w:basedOn w:val="Domyślnaczcionkaakapitu"/>
    <w:next w:val="ListParagraphChar,2Char,Lista-poziom1Char,WypunktowanieChar,ASIAChar,NormalChar,Akapitzlistą3Char,Akapitzlistą31Char,maz_wyliczenieChar,opisdzialaniaChar,K-P_odwolanieChar,A_wyliczenieChar,Akapitzlistą5Char,Normalny2Char"/>
    <w:autoRedefine w:val="0"/>
    <w:hidden w:val="0"/>
    <w:qFormat w:val="0"/>
    <w:rPr>
      <w:rFonts w:ascii="Arial" w:cs="Times New Roman" w:hAnsi="Arial"/>
      <w:color w:val="000000"/>
      <w:w w:val="100"/>
      <w:position w:val="-1"/>
      <w:effect w:val="none"/>
      <w:vertAlign w:val="baseline"/>
      <w:cs w:val="0"/>
      <w:em w:val="none"/>
      <w:lang/>
    </w:rPr>
  </w:style>
  <w:style w:type="paragraph" w:styleId="Standard">
    <w:name w:val="Standard"/>
    <w:next w:val="Standard"/>
    <w:autoRedefine w:val="0"/>
    <w:hidden w:val="0"/>
    <w:qFormat w:val="0"/>
    <w:pPr>
      <w:widowControl w:val="0"/>
      <w:suppressAutoHyphens w:val="0"/>
      <w:autoSpaceDN w:val="0"/>
      <w:spacing w:line="1" w:lineRule="atLeast"/>
      <w:ind w:leftChars="-1" w:rightChars="0" w:hanging="20" w:firstLineChars="-1"/>
      <w:textDirection w:val="btLr"/>
      <w:textAlignment w:val="baseline"/>
      <w:outlineLvl w:val="0"/>
    </w:pPr>
    <w:rPr>
      <w:rFonts w:ascii="Times New Roman" w:cs="Mangal" w:eastAsia="Arial Unicode MS" w:hAnsi="Times New Roman"/>
      <w:w w:val="100"/>
      <w:kern w:val="3"/>
      <w:position w:val="-1"/>
      <w:sz w:val="24"/>
      <w:szCs w:val="24"/>
      <w:effect w:val="none"/>
      <w:vertAlign w:val="baseline"/>
      <w:cs w:val="0"/>
      <w:em w:val="none"/>
      <w:lang w:bidi="hi-IN" w:eastAsia="zh-CN" w:val="pl-PL"/>
    </w:rPr>
  </w:style>
  <w:style w:type="paragraph" w:styleId="Default">
    <w:name w:val="Default"/>
    <w:next w:val="Default"/>
    <w:autoRedefine w:val="0"/>
    <w:hidden w:val="0"/>
    <w:qFormat w:val="0"/>
    <w:pPr>
      <w:suppressAutoHyphens w:val="1"/>
      <w:autoSpaceDE w:val="0"/>
      <w:autoSpaceDN w:val="0"/>
      <w:adjustRightInd w:val="0"/>
      <w:spacing w:line="1" w:lineRule="atLeast"/>
      <w:ind w:leftChars="-1" w:rightChars="0" w:hanging="20" w:firstLineChars="-1"/>
      <w:textDirection w:val="btLr"/>
      <w:textAlignment w:val="top"/>
      <w:outlineLvl w:val="0"/>
    </w:pPr>
    <w:rPr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pl-PL" w:val="pl-PL"/>
    </w:rPr>
  </w:style>
  <w:style w:type="paragraph" w:styleId="A.pkt">
    <w:name w:val="A. pkt"/>
    <w:basedOn w:val="Nagłówek2"/>
    <w:next w:val="A.pkt"/>
    <w:autoRedefine w:val="0"/>
    <w:hidden w:val="0"/>
    <w:qFormat w:val="0"/>
    <w:pPr>
      <w:keepNext w:val="0"/>
      <w:keepLines w:val="0"/>
      <w:numPr>
        <w:ilvl w:val="0"/>
        <w:numId w:val="4"/>
      </w:numPr>
      <w:tabs>
        <w:tab w:val="clear" w:pos="360"/>
        <w:tab w:val="num" w:leader="none" w:pos="720"/>
      </w:tabs>
      <w:suppressAutoHyphens w:val="1"/>
      <w:spacing w:after="0" w:before="120" w:line="240" w:lineRule="auto"/>
      <w:ind w:left="720" w:leftChars="-1" w:rightChars="0" w:hanging="720" w:firstLineChars="-1"/>
      <w:jc w:val="left"/>
      <w:textDirection w:val="btLr"/>
      <w:textAlignment w:val="top"/>
      <w:outlineLvl w:val="1"/>
    </w:pPr>
    <w:rPr>
      <w:rFonts w:ascii="Calibri" w:cs="Times New Roman" w:eastAsia="Arial" w:hAnsi="Calibri"/>
      <w:b w:val="1"/>
      <w:color w:val="auto"/>
      <w:w w:val="100"/>
      <w:position w:val="-1"/>
      <w:sz w:val="28"/>
      <w:szCs w:val="20"/>
      <w:u w:color="000000" w:val="none"/>
      <w:effect w:val="none"/>
      <w:vertAlign w:val="baseline"/>
      <w:cs w:val="0"/>
      <w:em w:val="none"/>
      <w:lang w:bidi="ar-SA" w:eastAsia="pl-PL" w:val="pl-PL"/>
    </w:rPr>
  </w:style>
  <w:style w:type="paragraph" w:styleId="1.pkt">
    <w:name w:val="1. pkt"/>
    <w:basedOn w:val="A.pkt"/>
    <w:next w:val="1.pkt"/>
    <w:autoRedefine w:val="0"/>
    <w:hidden w:val="0"/>
    <w:qFormat w:val="0"/>
    <w:pPr>
      <w:keepNext w:val="0"/>
      <w:keepLines w:val="0"/>
      <w:numPr>
        <w:ilvl w:val="1"/>
        <w:numId w:val="4"/>
      </w:numPr>
      <w:tabs>
        <w:tab w:val="clear" w:pos="360"/>
        <w:tab w:val="num" w:leader="none" w:pos="720"/>
        <w:tab w:val="num" w:leader="none" w:pos="1440"/>
      </w:tabs>
      <w:suppressAutoHyphens w:val="1"/>
      <w:spacing w:after="0" w:before="120" w:line="240" w:lineRule="auto"/>
      <w:ind w:left="1440" w:leftChars="-1" w:rightChars="0" w:hanging="720" w:firstLineChars="-1"/>
      <w:jc w:val="left"/>
      <w:textDirection w:val="btLr"/>
      <w:textAlignment w:val="top"/>
      <w:outlineLvl w:val="1"/>
    </w:pPr>
    <w:rPr>
      <w:rFonts w:ascii="Calibri" w:cs="Times New Roman" w:eastAsia="Arial" w:hAnsi="Calibri"/>
      <w:b w:val="1"/>
      <w:color w:val="auto"/>
      <w:w w:val="100"/>
      <w:position w:val="-1"/>
      <w:sz w:val="24"/>
      <w:szCs w:val="20"/>
      <w:u w:color="auto" w:val="none"/>
      <w:effect w:val="none"/>
      <w:vertAlign w:val="baseline"/>
      <w:cs w:val="0"/>
      <w:em w:val="none"/>
      <w:lang w:bidi="ar-SA" w:eastAsia="pl-PL" w:val="pl-PL"/>
    </w:rPr>
  </w:style>
  <w:style w:type="paragraph" w:styleId="1.1pkt">
    <w:name w:val="1.1 pkt"/>
    <w:basedOn w:val="1.pkt"/>
    <w:next w:val="1.1pkt"/>
    <w:autoRedefine w:val="0"/>
    <w:hidden w:val="0"/>
    <w:qFormat w:val="0"/>
    <w:pPr>
      <w:keepNext w:val="0"/>
      <w:keepLines w:val="0"/>
      <w:numPr>
        <w:ilvl w:val="2"/>
        <w:numId w:val="4"/>
      </w:numPr>
      <w:tabs>
        <w:tab w:val="num" w:leader="none" w:pos="720"/>
        <w:tab w:val="num" w:leader="none" w:pos="1440"/>
        <w:tab w:val="num" w:leader="none" w:pos="2160"/>
      </w:tabs>
      <w:suppressAutoHyphens w:val="1"/>
      <w:spacing w:after="0" w:before="0" w:line="240" w:lineRule="auto"/>
      <w:ind w:left="1800" w:leftChars="-1" w:rightChars="0" w:firstLine="284" w:firstLineChars="-1"/>
      <w:jc w:val="left"/>
      <w:textDirection w:val="btLr"/>
      <w:textAlignment w:val="top"/>
      <w:outlineLvl w:val="1"/>
    </w:pPr>
    <w:rPr>
      <w:rFonts w:ascii="Calibri" w:cs="Calibri" w:eastAsia="Arial" w:hAnsi="Calibri"/>
      <w:b w:val="1"/>
      <w:bCs w:val="1"/>
      <w:color w:val="auto"/>
      <w:w w:val="100"/>
      <w:position w:val="-1"/>
      <w:sz w:val="20"/>
      <w:szCs w:val="20"/>
      <w:u w:color="auto" w:val="none"/>
      <w:effect w:val="none"/>
      <w:vertAlign w:val="baseline"/>
      <w:cs w:val="0"/>
      <w:em w:val="none"/>
      <w:lang w:bidi="ar-SA" w:eastAsia="pl-PL" w:val="pl-PL"/>
    </w:rPr>
  </w:style>
  <w:style w:type="character" w:styleId="1.pktZnak">
    <w:name w:val="1. pkt Znak"/>
    <w:next w:val="1.pktZnak"/>
    <w:autoRedefine w:val="0"/>
    <w:hidden w:val="0"/>
    <w:qFormat w:val="0"/>
    <w:rPr>
      <w:rFonts w:ascii="Calibri" w:hAnsi="Calibri"/>
      <w:b w:val="1"/>
      <w:w w:val="100"/>
      <w:position w:val="-1"/>
      <w:sz w:val="20"/>
      <w:effect w:val="none"/>
      <w:vertAlign w:val="baseline"/>
      <w:cs w:val="0"/>
      <w:em w:val="none"/>
      <w:lang/>
    </w:rPr>
  </w:style>
  <w:style w:type="paragraph" w:styleId="1.1.1pkt">
    <w:name w:val="1.1.1 pkt"/>
    <w:basedOn w:val="1.pkt"/>
    <w:next w:val="1.1.1pkt"/>
    <w:autoRedefine w:val="0"/>
    <w:hidden w:val="0"/>
    <w:qFormat w:val="0"/>
    <w:pPr>
      <w:keepNext w:val="0"/>
      <w:keepLines w:val="0"/>
      <w:numPr>
        <w:ilvl w:val="3"/>
        <w:numId w:val="4"/>
      </w:numPr>
      <w:tabs>
        <w:tab w:val="num" w:leader="none" w:pos="720"/>
        <w:tab w:val="num" w:leader="none" w:pos="1440"/>
        <w:tab w:val="num" w:leader="none" w:pos="2880"/>
      </w:tabs>
      <w:suppressAutoHyphens w:val="1"/>
      <w:spacing w:after="0" w:before="0" w:line="240" w:lineRule="auto"/>
      <w:ind w:left="709" w:leftChars="-1" w:rightChars="0" w:hanging="360" w:firstLineChars="-1"/>
      <w:jc w:val="left"/>
      <w:textDirection w:val="btLr"/>
      <w:textAlignment w:val="top"/>
      <w:outlineLvl w:val="1"/>
    </w:pPr>
    <w:rPr>
      <w:rFonts w:ascii="Calibri" w:cs="Calibri" w:eastAsia="Arial" w:hAnsi="Calibri"/>
      <w:b w:val="1"/>
      <w:bCs w:val="1"/>
      <w:color w:val="auto"/>
      <w:w w:val="100"/>
      <w:position w:val="-1"/>
      <w:sz w:val="20"/>
      <w:szCs w:val="20"/>
      <w:u w:color="auto" w:val="none"/>
      <w:effect w:val="none"/>
      <w:vertAlign w:val="baseline"/>
      <w:cs w:val="0"/>
      <w:em w:val="none"/>
      <w:lang w:bidi="ar-SA" w:eastAsia="pl-PL" w:val="pl-PL"/>
    </w:rPr>
  </w:style>
  <w:style w:type="paragraph" w:styleId="NORM">
    <w:name w:val="NORM"/>
    <w:basedOn w:val="Normalny,ListParagraph,2,Lista-poziom1,Wypunktowanie,ASIA,Akapitzlistą3,Akapitzlistą31,maz_wyliczenie,opisdzialania,K-P_odwolanie,A_wyliczenie,Akapitzlistą5,Normalny2,Akapitzlistą32"/>
    <w:next w:val="NORM"/>
    <w:autoRedefine w:val="0"/>
    <w:hidden w:val="0"/>
    <w:qFormat w:val="0"/>
    <w:pPr>
      <w:suppressAutoHyphens w:val="1"/>
      <w:spacing w:after="0" w:line="240" w:lineRule="auto"/>
      <w:ind w:left="284" w:leftChars="-1" w:rightChars="0" w:firstLine="283" w:firstLineChars="-1"/>
      <w:jc w:val="left"/>
      <w:textDirection w:val="btLr"/>
      <w:textAlignment w:val="top"/>
      <w:outlineLvl w:val="0"/>
    </w:pPr>
    <w:rPr>
      <w:rFonts w:ascii="Calibri" w:cs="Times New Roman" w:eastAsia="Arial" w:hAnsi="Calibri"/>
      <w:color w:val="auto"/>
      <w:w w:val="100"/>
      <w:position w:val="-1"/>
      <w:sz w:val="20"/>
      <w:szCs w:val="20"/>
      <w:effect w:val="none"/>
      <w:vertAlign w:val="baseline"/>
      <w:cs w:val="0"/>
      <w:em w:val="none"/>
      <w:lang w:bidi="ar-SA" w:eastAsia="pl-PL" w:val="pl-PL"/>
    </w:rPr>
  </w:style>
  <w:style w:type="character" w:styleId="NORMZnak">
    <w:name w:val="NORM Znak"/>
    <w:next w:val="NORMZnak"/>
    <w:autoRedefine w:val="0"/>
    <w:hidden w:val="0"/>
    <w:qFormat w:val="0"/>
    <w:rPr>
      <w:rFonts w:ascii="Calibri" w:hAnsi="Calibri"/>
      <w:w w:val="100"/>
      <w:position w:val="-1"/>
      <w:sz w:val="20"/>
      <w:effect w:val="none"/>
      <w:vertAlign w:val="baseline"/>
      <w:cs w:val="0"/>
      <w:em w:val="none"/>
      <w:lang/>
    </w:rPr>
  </w:style>
  <w:style w:type="paragraph" w:styleId="WW-Domy?lnie1111111111">
    <w:name w:val="WW-Domy?lnie1111111111"/>
    <w:next w:val="WW-Domy?lnie1111111111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line="1" w:lineRule="atLeast"/>
      <w:ind w:leftChars="-1" w:rightChars="0" w:hanging="20" w:firstLineChars="-1"/>
      <w:textDirection w:val="btLr"/>
      <w:textAlignment w:val="top"/>
      <w:outlineLvl w:val="0"/>
    </w:pPr>
    <w:rPr>
      <w:rFonts w:ascii="Georgia" w:cs="Georgia" w:hAnsi="Georgia"/>
      <w:w w:val="100"/>
      <w:position w:val="-1"/>
      <w:sz w:val="24"/>
      <w:szCs w:val="24"/>
      <w:effect w:val="none"/>
      <w:vertAlign w:val="baseline"/>
      <w:cs w:val="0"/>
      <w:em w:val="none"/>
      <w:lang w:bidi="hi-IN" w:eastAsia="zh-CN" w:val="pl-PL"/>
    </w:rPr>
  </w:style>
  <w:style w:type="paragraph" w:styleId="WW-Domy?lnie11111111111">
    <w:name w:val="WW-Domy?lnie11111111111"/>
    <w:next w:val="WW-Domy?lnie11111111111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line="1" w:lineRule="atLeast"/>
      <w:ind w:leftChars="-1" w:rightChars="0" w:hanging="20" w:firstLineChars="-1"/>
      <w:textDirection w:val="btLr"/>
      <w:textAlignment w:val="top"/>
      <w:outlineLvl w:val="0"/>
    </w:pPr>
    <w:rPr>
      <w:rFonts w:ascii="Georgia" w:cs="Georgia" w:hAnsi="Georgia"/>
      <w:w w:val="100"/>
      <w:position w:val="-1"/>
      <w:sz w:val="24"/>
      <w:szCs w:val="24"/>
      <w:effect w:val="none"/>
      <w:vertAlign w:val="baseline"/>
      <w:cs w:val="0"/>
      <w:em w:val="none"/>
      <w:lang w:bidi="hi-IN" w:eastAsia="zh-CN" w:val="pl-PL"/>
    </w:rPr>
  </w:style>
  <w:style w:type="paragraph" w:styleId="WW-Domy?lnie111111111111">
    <w:name w:val="WW-Domy?lnie111111111111"/>
    <w:next w:val="WW-Domy?lnie111111111111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line="1" w:lineRule="atLeast"/>
      <w:ind w:leftChars="-1" w:rightChars="0" w:hanging="20" w:firstLineChars="-1"/>
      <w:textDirection w:val="btLr"/>
      <w:textAlignment w:val="top"/>
      <w:outlineLvl w:val="0"/>
    </w:pPr>
    <w:rPr>
      <w:rFonts w:ascii="Georgia" w:cs="Georgia" w:hAnsi="Georgia"/>
      <w:w w:val="100"/>
      <w:position w:val="-1"/>
      <w:sz w:val="24"/>
      <w:szCs w:val="24"/>
      <w:effect w:val="none"/>
      <w:vertAlign w:val="baseline"/>
      <w:cs w:val="0"/>
      <w:em w:val="none"/>
      <w:lang w:bidi="hi-IN" w:eastAsia="zh-CN" w:val="pl-PL"/>
    </w:rPr>
  </w:style>
  <w:style w:type="table" w:styleId="Styl">
    <w:name w:val="Styl"/>
    <w:basedOn w:val="TableNormal1"/>
    <w:next w:val="Styl"/>
    <w:autoRedefine w:val="0"/>
    <w:hidden w:val="0"/>
    <w:qFormat w:val="0"/>
    <w:pPr>
      <w:suppressAutoHyphens w:val="1"/>
      <w:spacing w:after="5" w:line="248" w:lineRule="auto"/>
      <w:ind w:left="10" w:leftChars="-1" w:rightChars="0" w:hanging="20" w:firstLineChars="-1"/>
      <w:jc w:val="both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pl-PL" w:val="pl-PL"/>
    </w:rPr>
    <w:tblPr>
      <w:tblStyle w:val="Styl"/>
      <w:tblStyleRowBandSize w:val="1"/>
      <w:tblStyleColBandSize w:val="1"/>
      <w:jc w:val="left"/>
      <w:tblCellMar>
        <w:left w:w="108.0" w:type="dxa"/>
        <w:right w:w="108.0" w:type="dxa"/>
      </w:tblCellMar>
    </w:tblPr>
  </w:style>
  <w:style w:type="table" w:styleId="Styl3">
    <w:name w:val="Styl3"/>
    <w:basedOn w:val="TableNormal1"/>
    <w:next w:val="Styl3"/>
    <w:autoRedefine w:val="0"/>
    <w:hidden w:val="0"/>
    <w:qFormat w:val="0"/>
    <w:pPr>
      <w:suppressAutoHyphens w:val="1"/>
      <w:spacing w:after="5" w:line="248" w:lineRule="auto"/>
      <w:ind w:left="10" w:leftChars="-1" w:rightChars="0" w:hanging="20" w:firstLineChars="-1"/>
      <w:jc w:val="both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pl-PL" w:val="pl-PL"/>
    </w:rPr>
    <w:tblPr>
      <w:tblStyle w:val="Styl3"/>
      <w:tblStyleRowBandSize w:val="1"/>
      <w:tblStyleColBandSize w:val="1"/>
      <w:jc w:val="left"/>
      <w:tblCellMar>
        <w:left w:w="108.0" w:type="dxa"/>
        <w:right w:w="108.0" w:type="dxa"/>
      </w:tblCellMar>
    </w:tblPr>
  </w:style>
  <w:style w:type="table" w:styleId="Styl2">
    <w:name w:val="Styl2"/>
    <w:basedOn w:val="TableNormal1"/>
    <w:next w:val="Styl2"/>
    <w:autoRedefine w:val="0"/>
    <w:hidden w:val="0"/>
    <w:qFormat w:val="0"/>
    <w:pPr>
      <w:suppressAutoHyphens w:val="1"/>
      <w:spacing w:after="5" w:line="248" w:lineRule="auto"/>
      <w:ind w:left="10" w:leftChars="-1" w:rightChars="0" w:hanging="20" w:firstLineChars="-1"/>
      <w:jc w:val="both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pl-PL" w:val="pl-PL"/>
    </w:rPr>
    <w:tblPr>
      <w:tblStyle w:val="Styl2"/>
      <w:tblStyleRowBandSize w:val="1"/>
      <w:tblStyleColBandSize w:val="1"/>
      <w:jc w:val="left"/>
      <w:tblCellMar>
        <w:left w:w="108.0" w:type="dxa"/>
        <w:right w:w="108.0" w:type="dxa"/>
      </w:tblCellMar>
    </w:tblPr>
  </w:style>
  <w:style w:type="table" w:styleId="Styl1">
    <w:name w:val="Styl1"/>
    <w:basedOn w:val="TableNormal1"/>
    <w:next w:val="Styl1"/>
    <w:autoRedefine w:val="0"/>
    <w:hidden w:val="0"/>
    <w:qFormat w:val="0"/>
    <w:pPr>
      <w:suppressAutoHyphens w:val="1"/>
      <w:spacing w:after="0" w:line="240" w:lineRule="auto"/>
      <w:ind w:left="10" w:leftChars="-1" w:rightChars="0" w:hanging="20" w:firstLineChars="-1"/>
      <w:jc w:val="both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pl-PL" w:val="pl-PL"/>
    </w:rPr>
    <w:tblPr>
      <w:tblStyle w:val="Styl1"/>
      <w:tblStyleRowBandSize w:val="1"/>
      <w:tblStyleColBandSize w:val="1"/>
      <w:jc w:val="left"/>
      <w:tblCellMar>
        <w:left w:w="108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5.png"/><Relationship Id="rId10" Type="http://schemas.openxmlformats.org/officeDocument/2006/relationships/image" Target="media/image4.jpg"/><Relationship Id="rId13" Type="http://schemas.openxmlformats.org/officeDocument/2006/relationships/footer" Target="footer1.xml"/><Relationship Id="rId12" Type="http://schemas.openxmlformats.org/officeDocument/2006/relationships/image" Target="media/image2.jpg"/><Relationship Id="rId1" Type="http://schemas.openxmlformats.org/officeDocument/2006/relationships/image" Target="media/image1.emf"/><Relationship Id="rId2" Type="http://schemas.openxmlformats.org/officeDocument/2006/relationships/oleObject" Target="embeddings/oleObject1.bin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h18tkMf8ALVl70IDUFk1I4b5qw==">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2025-03-22T18:34:00Z</dcterms:created>
  <dc:creator>Biuro 1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